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taisx="http://lrs.lt/TAIS/DocPartXmlMark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body>
    <w:p>
      <w:pPr>
        <w:jc w:val="both"/>
        <w:rPr>
          <w:rFonts w:ascii="Times New Roman" w:hAnsi="Times New Roman"/>
        </w:rPr>
      </w:pPr>
      <w:r>
        <w:rPr>
          <w:rFonts w:ascii="Times New Roman" w:hAnsi="Times New Roman"/>
          <w:b/>
          <w:i/>
        </w:rPr>
        <w:t>Suvestinė redakcija nuo 2024-11-01</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Įsakymas paskelbtas: Žin. 2011, Nr. </w:t>
      </w:r>
      <w:fldSimple w:instr="HYPERLINK https://www.e-tar.lt/portal/legalAct.html?documentId=TAR.4B60A8C9678B">
        <w:r w:rsidRPr="00532B9F">
          <w:rPr>
            <w:rFonts w:ascii="Times New Roman" w:eastAsia="MS Mincho" w:hAnsi="Times New Roman"/>
            <w:sz w:val="20"/>
            <w:i/>
            <w:iCs/>
            <w:color w:val="0000FF" w:themeColor="hyperlink"/>
            <w:u w:val="single"/>
          </w:rPr>
          <w:t>84-4110</w:t>
        </w:r>
      </w:fldSimple>
      <w:r>
        <w:rPr>
          <w:rFonts w:ascii="Times New Roman" w:eastAsia="MS Mincho" w:hAnsi="Times New Roman"/>
          <w:sz w:val="20"/>
          <w:i/>
          <w:iCs/>
        </w:rPr>
        <w:t>, i. k. 111301MISAK00D1-508</w:t>
      </w:r>
    </w:p>
    <w:p>
      <w:pPr>
        <w:jc w:val="both"/>
        <w:rPr>
          <w:rFonts w:ascii="Times New Roman" w:hAnsi="Times New Roman"/>
          <w:sz w:val="20"/>
        </w:rPr>
      </w:pPr>
    </w:p>
    <w:p>
      <w:pPr>
        <w:rPr>
          <w:rFonts w:ascii="Times New Roman" w:hAnsi="Times New Roman"/>
          <w:sz w:val="20"/>
          <w:b/>
          <w:i/>
        </w:rPr>
      </w:pPr>
      <w:r>
        <w:rPr>
          <w:rFonts w:ascii="Times New Roman" w:hAnsi="Times New Roman"/>
          <w:sz w:val="20"/>
          <w:b/>
          <w:i/>
        </w:rPr>
        <w:t>Nauja redakcija nuo 2023-01-01:</w:t>
      </w:r>
    </w:p>
    <w:p>
      <w:pPr>
        <w:rPr>
          <w:rFonts w:ascii="Times New Roman" w:hAnsi="Times New Roman"/>
          <w:sz w:val="20"/>
          <w:i/>
        </w:rPr>
      </w:pPr>
      <w:r>
        <w:rPr>
          <w:rFonts w:ascii="Times New Roman" w:hAnsi="Times New Roman"/>
          <w:sz w:val="20"/>
          <w:i/>
        </w:rPr>
        <w:t xml:space="preserve">Nr. </w:t>
      </w:r>
      <w:fldSimple w:instr="HYPERLINK https://www.e-tar.lt/portal/legalAct.html?documentId=41e131d07ada11edbc04912defe897d1">
        <w:r w:rsidRPr="00532B9F">
          <w:rPr>
            <w:rFonts w:ascii="Times New Roman" w:eastAsia="MS Mincho" w:hAnsi="Times New Roman"/>
            <w:sz w:val="20"/>
            <w:i/>
            <w:iCs/>
            <w:color w:val="0000FF" w:themeColor="hyperlink"/>
            <w:u w:val="single"/>
          </w:rPr>
          <w:t>D1-401</w:t>
        </w:r>
      </w:fldSimple>
      <w:r>
        <w:rPr>
          <w:rFonts w:ascii="Times New Roman" w:eastAsia="MS Mincho" w:hAnsi="Times New Roman"/>
          <w:sz w:val="20"/>
          <w:i/>
          <w:iCs/>
        </w:rPr>
        <w:t>,
2022-12-13,
paskelbta TAR 2022-12-13, i. k. 2022-25384                </w:t>
      </w:r>
    </w:p>
    <w:p>
      <w:pPr>
        <w:rPr>
          <w:rFonts w:ascii="Times New Roman" w:hAnsi="Times New Roman"/>
          <w:sz w:val="22"/>
        </w:rPr>
      </w:pPr>
    </w:p>
    <w:p>
      <w:pPr>
        <w:suppressAutoHyphens/>
        <w:jc w:val="center"/>
        <w:rPr>
          <w:b/>
          <w:bCs/>
          <w:lang w:eastAsia="lt-LT"/>
        </w:rPr>
      </w:pPr>
      <w:r>
        <w:rPr>
          <w:b/>
          <w:bCs/>
          <w:lang w:eastAsia="lt-LT"/>
        </w:rPr>
        <w:t>LIETUVOS RESPUBLIKOS APLINKOS MINISTRAS</w:t>
      </w:r>
    </w:p>
    <w:p>
      <w:pPr>
        <w:suppressAutoHyphens/>
        <w:jc w:val="center"/>
        <w:rPr>
          <w:b/>
          <w:bCs/>
          <w:lang w:eastAsia="lt-LT"/>
        </w:rPr>
      </w:pPr>
    </w:p>
    <w:p>
      <w:pPr>
        <w:suppressAutoHyphens/>
        <w:jc w:val="center"/>
        <w:rPr>
          <w:b/>
          <w:bCs/>
          <w:lang w:eastAsia="lt-LT"/>
        </w:rPr>
      </w:pPr>
      <w:r>
        <w:rPr>
          <w:b/>
          <w:bCs/>
          <w:lang w:eastAsia="lt-LT"/>
        </w:rPr>
        <w:t>ĮSAKYMAS</w:t>
      </w:r>
    </w:p>
    <w:p>
      <w:pPr>
        <w:suppressAutoHyphens/>
        <w:jc w:val="center"/>
        <w:rPr>
          <w:b/>
          <w:bCs/>
          <w:lang w:eastAsia="lt-LT"/>
        </w:rPr>
      </w:pPr>
      <w:r>
        <w:rPr>
          <w:b/>
          <w:bCs/>
          <w:lang w:eastAsia="lt-LT"/>
        </w:rPr>
        <w:t>DĖL APLINKOS APSAUGOS KRITERIJŲ TAIKYMO, VYKDANT ŽALIUOSIUS PIRKIMUS, TVARKOS APRAŠO PATVIRTINIMO</w:t>
      </w:r>
    </w:p>
    <w:p>
      <w:pPr>
        <w:suppressAutoHyphens/>
        <w:jc w:val="both"/>
        <w:rPr>
          <w:lang w:eastAsia="lt-LT"/>
        </w:rPr>
      </w:pPr>
    </w:p>
    <w:p>
      <w:pPr>
        <w:suppressAutoHyphens/>
        <w:jc w:val="center"/>
        <w:rPr>
          <w:lang w:eastAsia="lt-LT"/>
        </w:rPr>
      </w:pPr>
      <w:r>
        <w:rPr>
          <w:lang w:eastAsia="lt-LT"/>
        </w:rPr>
        <w:t>2011 m. birželio 28 d. Nr. D1-508</w:t>
      </w:r>
    </w:p>
    <w:p>
      <w:pPr>
        <w:suppressAutoHyphens/>
        <w:jc w:val="center"/>
        <w:rPr>
          <w:lang w:eastAsia="lt-LT"/>
        </w:rPr>
      </w:pPr>
      <w:r>
        <w:rPr>
          <w:lang w:eastAsia="lt-LT"/>
        </w:rPr>
        <w:t>Vilnius</w:t>
      </w:r>
    </w:p>
    <w:p>
      <w:pPr>
        <w:suppressAutoHyphens/>
        <w:jc w:val="both"/>
        <w:rPr>
          <w:lang w:eastAsia="lt-LT"/>
        </w:rPr>
      </w:pPr>
    </w:p>
    <w:p>
      <w:pPr>
        <w:suppressAutoHyphens/>
        <w:ind w:firstLine="567"/>
        <w:jc w:val="both"/>
        <w:rPr>
          <w:lang w:eastAsia="lt-LT"/>
        </w:rPr>
      </w:pPr>
      <w:r>
        <w:rPr>
          <w:lang w:eastAsia="lt-LT"/>
        </w:rPr>
        <w:t>Vadovaudamasis Lietuvos Respublikos Vyriausybės 2006 m. sausio 30 d. nutarimo Nr. 92 „Dėl Lietuvos Respublikos viešųjų pirkimų įstatymo ir Lietuvos Respublikos pirkimų, atliekamų vandentvarkos, energetikos, transporto ar pašto paslaugų srities perkančiųjų subjektų, įstatymo įgyvendinimo“ 8.2 papunkčiu ir įgyvendindamas Lietuvos Respublikos Vyriausybės 2010 m. liepos 21 d. nutarimą Nr. 1133 „Dėl žaliųjų pirkimų tikslų nustatymo ir įgyvendinimo“,</w:t>
      </w:r>
    </w:p>
    <w:p>
      <w:pPr>
        <w:suppressAutoHyphens/>
        <w:ind w:firstLine="567"/>
        <w:jc w:val="both"/>
      </w:pPr>
      <w:r>
        <w:rPr>
          <w:lang w:eastAsia="lt-LT"/>
        </w:rPr>
        <w:t>t v i r t i n u Aplinkos apsaugos kriterijų taikymo, vykdant žaliuosius pirkimus, tvarkos aprašą (pridedama).</w:t>
      </w:r>
      <w:r>
        <w:t xml:space="preserve"> </w:t>
      </w:r>
    </w:p>
    <w:p>
      <w:pPr>
        <w:widowControl w:val="0"/>
        <w:tabs>
          <w:tab w:val="right" w:pos="9071"/>
        </w:tabs>
        <w:suppressAutoHyphens/>
      </w:pPr>
    </w:p>
    <w:p>
      <w:pPr>
        <w:widowControl w:val="0"/>
        <w:tabs>
          <w:tab w:val="right" w:pos="9071"/>
        </w:tabs>
        <w:suppressAutoHyphens/>
      </w:pPr>
    </w:p>
    <w:p>
      <w:pPr>
        <w:widowControl w:val="0"/>
        <w:tabs>
          <w:tab w:val="right" w:pos="9071"/>
        </w:tabs>
        <w:suppressAutoHyphens/>
      </w:pPr>
    </w:p>
    <w:p>
      <w:pPr>
        <w:widowControl w:val="0"/>
        <w:tabs>
          <w:tab w:val="right" w:pos="9071"/>
        </w:tabs>
        <w:suppressAutoHyphens/>
      </w:pPr>
      <w:r>
        <w:rPr>
          <w:color w:val="000000"/>
        </w:rPr>
        <w:t>Aplinkos ministras</w:t>
        <w:tab/>
        <w:t>Gediminas Kazlauskas</w:t>
      </w:r>
    </w:p>
    <w:p/>
    <w:p>
      <w:pPr>
        <w:tabs>
          <w:tab w:val="left" w:pos="567"/>
          <w:tab w:val="left" w:pos="5103"/>
          <w:tab w:val="left" w:pos="5387"/>
        </w:tabs>
        <w:ind w:firstLine="4253"/>
        <w:sectPr>
          <w:headerReference w:type="even" r:id="rId10"/>
          <w:headerReference w:type="default" r:id="rId11"/>
          <w:footerReference w:type="even" r:id="rId12"/>
          <w:footerReference w:type="default" r:id="rId13"/>
          <w:headerReference w:type="first" r:id="rId14"/>
          <w:footerReference w:type="first" r:id="rId15"/>
          <w:pgSz w:w="11906" w:h="16838"/>
          <w:pgMar w:top="1701" w:right="567" w:bottom="1134" w:left="1701" w:header="567" w:footer="567" w:gutter="0"/>
          <w:pgNumType w:start="1"/>
          <w:cols w:space="1296"/>
          <w:titlePg/>
          <w:docGrid w:linePitch="360"/>
        </w:sectPr>
      </w:pPr>
    </w:p>
    <w:p>
      <w:pPr>
        <w:tabs>
          <w:tab w:val="left" w:pos="567"/>
          <w:tab w:val="left" w:pos="5103"/>
          <w:tab w:val="left" w:pos="5387"/>
        </w:tabs>
        <w:ind w:firstLine="5103"/>
        <w:rPr>
          <w:szCs w:val="24"/>
        </w:rPr>
      </w:pPr>
      <w:r>
        <w:rPr>
          <w:szCs w:val="24"/>
        </w:rPr>
        <w:t>PATVIRTINTA</w:t>
      </w:r>
    </w:p>
    <w:p>
      <w:pPr>
        <w:tabs>
          <w:tab w:val="left" w:pos="5040"/>
          <w:tab w:val="left" w:pos="5103"/>
          <w:tab w:val="left" w:pos="5245"/>
          <w:tab w:val="left" w:pos="5529"/>
        </w:tabs>
        <w:ind w:firstLine="5103"/>
        <w:rPr>
          <w:szCs w:val="24"/>
        </w:rPr>
      </w:pPr>
      <w:r>
        <w:rPr>
          <w:szCs w:val="24"/>
        </w:rPr>
        <w:t xml:space="preserve">Lietuvos Respublikos aplinkos ministro </w:t>
      </w:r>
    </w:p>
    <w:p>
      <w:pPr>
        <w:tabs>
          <w:tab w:val="left" w:pos="5040"/>
          <w:tab w:val="left" w:pos="5103"/>
          <w:tab w:val="left" w:pos="5245"/>
          <w:tab w:val="left" w:pos="5529"/>
        </w:tabs>
        <w:ind w:firstLine="5103"/>
        <w:rPr>
          <w:szCs w:val="24"/>
        </w:rPr>
      </w:pPr>
      <w:r>
        <w:rPr>
          <w:szCs w:val="24"/>
        </w:rPr>
        <w:t>2011 m. birželio 28 d. įsakymu Nr. D1-508</w:t>
      </w:r>
    </w:p>
    <w:p>
      <w:pPr>
        <w:tabs>
          <w:tab w:val="left" w:pos="5040"/>
          <w:tab w:val="left" w:pos="5103"/>
          <w:tab w:val="left" w:pos="5245"/>
          <w:tab w:val="left" w:pos="5529"/>
        </w:tabs>
        <w:ind w:firstLine="5103"/>
        <w:rPr>
          <w:szCs w:val="24"/>
        </w:rPr>
      </w:pPr>
      <w:r>
        <w:rPr>
          <w:szCs w:val="24"/>
        </w:rPr>
        <w:t>(Lietuvos Respublikos aplinkos ministro</w:t>
      </w:r>
    </w:p>
    <w:p>
      <w:pPr>
        <w:tabs>
          <w:tab w:val="left" w:pos="5040"/>
          <w:tab w:val="left" w:pos="5103"/>
          <w:tab w:val="left" w:pos="5245"/>
          <w:tab w:val="left" w:pos="5529"/>
        </w:tabs>
        <w:ind w:firstLine="5103"/>
        <w:rPr>
          <w:szCs w:val="24"/>
        </w:rPr>
      </w:pPr>
      <w:r>
        <w:rPr>
          <w:szCs w:val="24"/>
        </w:rPr>
        <w:t xml:space="preserve">2022 m. gruodžio 13 d. įsakymo Nr. D1-401 </w:t>
      </w:r>
    </w:p>
    <w:p>
      <w:pPr>
        <w:tabs>
          <w:tab w:val="left" w:pos="5040"/>
          <w:tab w:val="left" w:pos="5103"/>
          <w:tab w:val="left" w:pos="5245"/>
          <w:tab w:val="left" w:pos="5529"/>
        </w:tabs>
        <w:ind w:firstLine="5103"/>
        <w:rPr>
          <w:szCs w:val="24"/>
        </w:rPr>
      </w:pPr>
      <w:r>
        <w:rPr>
          <w:szCs w:val="24"/>
        </w:rPr>
        <w:t xml:space="preserve">redakcija) </w:t>
      </w:r>
    </w:p>
    <w:p>
      <w:pPr>
        <w:tabs>
          <w:tab w:val="left" w:pos="567"/>
          <w:tab w:val="left" w:pos="5103"/>
          <w:tab w:val="left" w:pos="5387"/>
        </w:tabs>
        <w:ind w:firstLine="5103"/>
        <w:rPr>
          <w:szCs w:val="24"/>
        </w:rPr>
      </w:pPr>
    </w:p>
    <w:p>
      <w:pPr>
        <w:tabs>
          <w:tab w:val="left" w:pos="567"/>
          <w:tab w:val="left" w:pos="5103"/>
          <w:tab w:val="left" w:pos="5387"/>
        </w:tabs>
        <w:jc w:val="center"/>
      </w:pPr>
      <w:r>
        <w:rPr>
          <w:b/>
          <w:bCs/>
          <w:caps/>
          <w:lang w:eastAsia="lt-LT"/>
        </w:rPr>
        <w:t>APLINKOS APSAUGOS KRITERIJŲ TAIKYMO, VyKDANT žALIUOSIUS PIRKIMUS, TVARKOS APRAŠAS</w:t>
      </w:r>
    </w:p>
    <w:p>
      <w:pPr>
        <w:tabs>
          <w:tab w:val="left" w:pos="567"/>
          <w:tab w:val="left" w:pos="5103"/>
          <w:tab w:val="left" w:pos="5387"/>
        </w:tabs>
        <w:rPr>
          <w:szCs w:val="24"/>
        </w:rPr>
      </w:pPr>
    </w:p>
    <w:p>
      <w:pPr>
        <w:suppressAutoHyphens/>
        <w:jc w:val="center"/>
        <w:rPr>
          <w:b/>
          <w:bCs/>
          <w:szCs w:val="24"/>
          <w:lang w:val="lt" w:eastAsia="lt-LT"/>
        </w:rPr>
      </w:pPr>
      <w:r>
        <w:rPr>
          <w:b/>
          <w:bCs/>
          <w:szCs w:val="24"/>
          <w:lang w:val="lt" w:eastAsia="lt-LT"/>
        </w:rPr>
        <w:t>I</w:t>
      </w:r>
      <w:r>
        <w:rPr>
          <w:b/>
          <w:bCs/>
          <w:szCs w:val="24"/>
          <w:lang w:val="lt" w:eastAsia="lt-LT"/>
        </w:rPr>
        <w:t xml:space="preserve"> SKYRIUS</w:t>
      </w:r>
    </w:p>
    <w:p>
      <w:pPr>
        <w:suppressAutoHyphens/>
        <w:jc w:val="center"/>
        <w:rPr>
          <w:b/>
          <w:bCs/>
          <w:szCs w:val="24"/>
          <w:lang w:val="lt" w:eastAsia="lt-LT"/>
        </w:rPr>
      </w:pPr>
      <w:r>
        <w:rPr>
          <w:b/>
          <w:bCs/>
          <w:szCs w:val="24"/>
          <w:lang w:val="lt" w:eastAsia="lt-LT"/>
        </w:rPr>
        <w:t>BENDROSIOS NUOSTATOS</w:t>
      </w:r>
    </w:p>
    <w:p>
      <w:pPr>
        <w:tabs>
          <w:tab w:val="left" w:pos="567"/>
          <w:tab w:val="left" w:pos="5103"/>
          <w:tab w:val="left" w:pos="5387"/>
        </w:tabs>
        <w:rPr>
          <w:szCs w:val="24"/>
        </w:rPr>
      </w:pPr>
    </w:p>
    <w:p>
      <w:pPr>
        <w:ind w:firstLine="851"/>
        <w:jc w:val="both"/>
        <w:rPr>
          <w:lang w:val="lt"/>
        </w:rPr>
      </w:pPr>
      <w:r>
        <w:rPr>
          <w:lang w:val="lt"/>
        </w:rPr>
        <w:t>1</w:t>
      </w:r>
      <w:r>
        <w:rPr>
          <w:lang w:val="lt"/>
        </w:rPr>
        <w:t xml:space="preserve">. Aplinkos apsaugos kriterijų taikymo, vykdant žaliuosius pirkimus, tvarkos aprašas (toliau – Tvarkos aprašas), kurį turi taikyti Lietuvos Respublikos viešųjų pirkimų įstatyme apibrėžtos perkančiosios organizacijos, Lietuvos Respublikos pirkimų, atliekamų vandentvarkos, energetikos, transporto ar pašto paslaugų srities perkančiųjų subjektų įstatyme apibrėžti perkantieji subjektai (toliau kartu – pirkimo vykdytojas), pirkdami prekes, paslaugas ar darbus,  nustato aplinkos apsaugos kriterijų taikymo, vykdant prekių, paslaugų ar darbų viešuosius pirkimus ir pirkimus (toliau kartu – pirkimai), tvarką, rezultatų apskaičiavimą ir atitiktį žaliojo pirkimo reikalavimams įrodančius dokumentus.</w:t>
      </w:r>
    </w:p>
    <w:p>
      <w:pPr>
        <w:ind w:firstLine="851"/>
        <w:jc w:val="both"/>
        <w:rPr>
          <w:lang w:val="lt"/>
        </w:rPr>
      </w:pPr>
      <w:r>
        <w:rPr>
          <w:lang w:val="lt"/>
        </w:rPr>
        <w:t>2</w:t>
      </w:r>
      <w:r>
        <w:rPr>
          <w:lang w:val="lt"/>
        </w:rPr>
        <w:t>. Tvarkos aprašas privalomas visiems pirkimų vykdytojams, vykdantiems žaliuosius viešuosius pirkimus ar žaliuosius pirkimus (toliau kartu – žalieji pirkimai).</w:t>
      </w:r>
    </w:p>
    <w:p>
      <w:pPr>
        <w:suppressAutoHyphens/>
        <w:ind w:firstLine="851"/>
        <w:jc w:val="both"/>
        <w:rPr>
          <w:lang w:val="lt"/>
        </w:rPr>
      </w:pPr>
      <w:r>
        <w:rPr>
          <w:lang w:val="lt"/>
        </w:rPr>
        <w:t>3</w:t>
      </w:r>
      <w:r>
        <w:rPr>
          <w:lang w:val="lt"/>
        </w:rPr>
        <w:t xml:space="preserve">. Tvarkos apraše vartojamos sąvokos: </w:t>
      </w:r>
    </w:p>
    <w:p>
      <w:pPr>
        <w:ind w:firstLine="851"/>
        <w:jc w:val="both"/>
        <w:rPr>
          <w:lang w:val="lt"/>
        </w:rPr>
      </w:pPr>
      <w:r>
        <w:rPr>
          <w:lang w:val="lt"/>
        </w:rPr>
        <w:t>3.1</w:t>
      </w:r>
      <w:r>
        <w:rPr>
          <w:lang w:val="lt"/>
        </w:rPr>
        <w:t xml:space="preserve">. </w:t>
      </w:r>
      <w:r>
        <w:rPr>
          <w:b/>
          <w:bCs/>
          <w:lang w:val="lt"/>
        </w:rPr>
        <w:t>Aplinkos apsaugos kriterijai</w:t>
      </w:r>
      <w:r>
        <w:rPr>
          <w:lang w:val="lt"/>
        </w:rPr>
        <w:t xml:space="preserve"> – kriterijai, kuriais pirkimo vykdytojas vadovaujasi, nustatydamas aplinkos apsaugos reikalavimus prekėms, paslaugoms ar darbams.</w:t>
      </w:r>
    </w:p>
    <w:p>
      <w:pPr>
        <w:ind w:firstLine="851"/>
        <w:jc w:val="both"/>
        <w:rPr>
          <w:lang w:val="lt"/>
        </w:rPr>
      </w:pPr>
      <w:r>
        <w:rPr>
          <w:lang w:val="lt"/>
        </w:rPr>
        <w:t>3.2</w:t>
      </w:r>
      <w:r>
        <w:rPr>
          <w:lang w:val="lt"/>
        </w:rPr>
        <w:t xml:space="preserve">. </w:t>
      </w:r>
      <w:r>
        <w:rPr>
          <w:b/>
          <w:bCs/>
          <w:lang w:val="lt"/>
        </w:rPr>
        <w:t>Aplinkos apsaugos vadybos sistema</w:t>
      </w:r>
      <w:r>
        <w:rPr>
          <w:lang w:val="lt"/>
        </w:rPr>
        <w:t xml:space="preserve"> – visuma priemonių, kuriomis užtikrinamas veiksmingas aplinkos apsaugos vadybos planas ar procedūrų įgyvendinimas ir aplinkos apsaugos politikos tikslų ir uždavinių tarpusavio atitiktis.</w:t>
      </w:r>
    </w:p>
    <w:p>
      <w:pPr>
        <w:ind w:firstLine="851"/>
        <w:jc w:val="both"/>
        <w:rPr>
          <w:lang w:val="lt"/>
        </w:rPr>
      </w:pPr>
      <w:r>
        <w:rPr>
          <w:lang w:val="lt"/>
        </w:rPr>
        <w:t>3.3</w:t>
      </w:r>
      <w:r>
        <w:rPr>
          <w:lang w:val="lt"/>
        </w:rPr>
        <w:t xml:space="preserve">. </w:t>
      </w:r>
      <w:r>
        <w:rPr>
          <w:b/>
          <w:bCs/>
          <w:lang w:val="lt"/>
        </w:rPr>
        <w:t>Minimalūs aplinkos apsaugos kriterijai</w:t>
      </w:r>
      <w:r>
        <w:rPr>
          <w:lang w:val="lt"/>
        </w:rPr>
        <w:t xml:space="preserve"> – privalomai taikomi aplinkos apsaugos kriterijai, patvirtinti aplinkos ministro įsakymu, atsižvelgiant į pagrindinius prekių, paslaugų ar darbų poveikio aplinkai veiksnius.</w:t>
      </w:r>
    </w:p>
    <w:p>
      <w:pPr>
        <w:ind w:firstLine="851"/>
        <w:jc w:val="both"/>
        <w:rPr>
          <w:lang w:val="lt"/>
        </w:rPr>
      </w:pPr>
      <w:r>
        <w:rPr>
          <w:lang w:val="lt"/>
        </w:rPr>
        <w:t>3.4</w:t>
      </w:r>
      <w:r>
        <w:rPr>
          <w:lang w:val="lt"/>
        </w:rPr>
        <w:t xml:space="preserve">. </w:t>
      </w:r>
      <w:r>
        <w:rPr>
          <w:b/>
          <w:bCs/>
          <w:lang w:val="lt"/>
        </w:rPr>
        <w:t>I tipo ekologinis ženklas</w:t>
      </w:r>
      <w:r>
        <w:rPr>
          <w:lang w:val="lt"/>
        </w:rPr>
        <w:t xml:space="preserve"> – daugialypiu kriterijumi grindžiamas trečiosios šalies suteikiamas standartinis ženklas, kuriuo patvirtinama, kad tam tikros prekės, paslaugos ar darbai pasižymi aplinkai palankiomis savybėmis visuose jų gyvavimo ciklo etapuose.</w:t>
      </w:r>
    </w:p>
    <w:p>
      <w:pPr>
        <w:suppressAutoHyphens/>
        <w:ind w:firstLine="851"/>
        <w:jc w:val="both"/>
        <w:rPr>
          <w:lang w:val="lt"/>
        </w:rPr>
      </w:pPr>
      <w:r>
        <w:rPr>
          <w:szCs w:val="24"/>
        </w:rPr>
        <w:t>3.5</w:t>
      </w:r>
      <w:r>
        <w:rPr>
          <w:szCs w:val="24"/>
        </w:rPr>
        <w:t xml:space="preserve">. </w:t>
      </w:r>
      <w:r>
        <w:rPr>
          <w:b/>
          <w:szCs w:val="24"/>
        </w:rPr>
        <w:t>Žaliasis pirkimas</w:t>
      </w:r>
      <w:r>
        <w:rPr>
          <w:szCs w:val="24"/>
        </w:rPr>
        <w:t xml:space="preserve"> – pirkimas, kurio vykdytojas įsigyja</w:t>
      </w:r>
      <w:r>
        <w:rPr>
          <w:b/>
          <w:bCs/>
          <w:szCs w:val="24"/>
        </w:rPr>
        <w:t xml:space="preserve"> </w:t>
      </w:r>
      <w:r>
        <w:rPr>
          <w:szCs w:val="24"/>
        </w:rPr>
        <w:t>prekių, paslaugų ar darbų darančių kuo mažesnį neigiamą poveikį aplinkai viename, keliuose ar visuose</w:t>
      </w:r>
      <w:r>
        <w:rPr>
          <w:rFonts w:ascii="Calibri" w:eastAsia="Calibri" w:hAnsi="Calibri"/>
          <w:kern w:val="2"/>
          <w:sz w:val="22"/>
          <w:szCs w:val="22"/>
          <w14:ligatures w14:val="standardContextual"/>
        </w:rPr>
        <w:t xml:space="preserve"> </w:t>
      </w:r>
      <w:r>
        <w:rPr>
          <w:szCs w:val="24"/>
        </w:rPr>
        <w:t>tų prekių, paslaugų ar darbų gyvavimo ciklo etapuose.</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ind w:firstLine="851"/>
        <w:jc w:val="both"/>
        <w:rPr>
          <w:lang w:val="lt"/>
        </w:rPr>
      </w:pPr>
      <w:r>
        <w:rPr>
          <w:lang w:val="lt"/>
        </w:rPr>
        <w:t>3.6</w:t>
      </w:r>
      <w:r>
        <w:rPr>
          <w:lang w:val="lt"/>
        </w:rPr>
        <w:t>. Kitos Tvarkos apraše vartojamos sąvokos atitinka Viešųjų pirkimų įstatyme, Pirkimų, atliekamų vandentvarkos, energetikos, transporto ar pašto paslaugų srities perkančiųjų subjektų įstatyme, Lietuvos Respublikos atliekų tvarkymo įstatyme, Lietuvos Respublikos planuojamos ūkinės veiklos poveikio aplinkai vertinimo įstatymas, Lietuvos Respublikos cheminių medžiagų ir cheminių mišinių įstatyme vartojamas sąvokas.</w:t>
      </w:r>
    </w:p>
    <w:p>
      <w:pPr>
        <w:ind w:firstLine="851"/>
        <w:jc w:val="both"/>
        <w:rPr>
          <w:lang w:val="lt"/>
        </w:rPr>
      </w:pPr>
    </w:p>
    <w:p>
      <w:pPr>
        <w:keepNext/>
        <w:suppressAutoHyphens/>
        <w:jc w:val="center"/>
        <w:rPr>
          <w:b/>
          <w:bCs/>
          <w:szCs w:val="24"/>
          <w:lang w:val="lt" w:eastAsia="lt-LT"/>
        </w:rPr>
      </w:pPr>
      <w:r>
        <w:rPr>
          <w:b/>
          <w:bCs/>
          <w:szCs w:val="24"/>
          <w:lang w:val="lt" w:eastAsia="lt-LT"/>
        </w:rPr>
        <w:t>II</w:t>
      </w:r>
      <w:r>
        <w:rPr>
          <w:b/>
          <w:bCs/>
          <w:szCs w:val="24"/>
          <w:lang w:val="lt" w:eastAsia="lt-LT"/>
        </w:rPr>
        <w:t xml:space="preserve"> SKYRIUS</w:t>
      </w:r>
    </w:p>
    <w:p>
      <w:pPr>
        <w:keepNext/>
        <w:suppressAutoHyphens/>
        <w:jc w:val="center"/>
        <w:rPr>
          <w:b/>
          <w:bCs/>
          <w:szCs w:val="24"/>
          <w:lang w:val="lt" w:eastAsia="lt-LT"/>
        </w:rPr>
      </w:pPr>
      <w:r>
        <w:rPr>
          <w:b/>
          <w:bCs/>
          <w:szCs w:val="24"/>
          <w:lang w:val="lt" w:eastAsia="lt-LT"/>
        </w:rPr>
        <w:t>APLINKOS APSAUGOS KRITERIJŲ TAIKYMO TVARKA IR REZULTATŲ APSKAIČIAVIMAS</w:t>
      </w:r>
    </w:p>
    <w:p>
      <w:pPr>
        <w:tabs>
          <w:tab w:val="left" w:pos="567"/>
          <w:tab w:val="left" w:pos="5103"/>
          <w:tab w:val="left" w:pos="5387"/>
        </w:tabs>
        <w:ind w:firstLine="5103"/>
        <w:rPr>
          <w:szCs w:val="24"/>
        </w:rPr>
      </w:pPr>
    </w:p>
    <w:p>
      <w:pPr>
        <w:tabs>
          <w:tab w:val="left" w:pos="567"/>
          <w:tab w:val="left" w:pos="5103"/>
          <w:tab w:val="left" w:pos="5387"/>
        </w:tabs>
        <w:ind w:firstLine="851"/>
        <w:jc w:val="both"/>
        <w:rPr>
          <w:rFonts w:eastAsia="Cumberland"/>
          <w:color w:val="000000"/>
          <w:shd w:val="clear" w:color="auto" w:fill="FFFFFF"/>
          <w:lang w:eastAsia="lt-LT"/>
        </w:rPr>
      </w:pPr>
      <w:r>
        <w:t>4</w:t>
      </w:r>
      <w:r>
        <w:t xml:space="preserve">. </w:t>
      </w:r>
      <w:r>
        <w:rPr>
          <w:color w:val="000000"/>
          <w:shd w:val="clear" w:color="auto" w:fill="FFFFFF"/>
          <w:lang w:eastAsia="lt-LT"/>
        </w:rPr>
        <w:t>Pirkimas laikomas žaliuoju, kai rengiant technines specifikacijas, nustatant tiekėjų kvalifikacijos reikalavimus ar kvalifikacinės atrankos kriterijus, pasiūlymų vertinimo kriterijus, pirkimo sutarties vykdymo sąlygas ir (ar) kitus reikalavimus</w:t>
      </w:r>
      <w:r>
        <w:rPr>
          <w:color w:val="000000"/>
          <w:lang w:eastAsia="lt-LT"/>
        </w:rPr>
        <w:t xml:space="preserve"> tiekėjams</w:t>
      </w:r>
      <w:r>
        <w:rPr>
          <w:color w:val="000000"/>
          <w:shd w:val="clear" w:color="auto" w:fill="FFFFFF"/>
          <w:lang w:eastAsia="lt-LT"/>
        </w:rPr>
        <w:t>, perkama prekė, paslauga arba darbas (toliau – produktas) tenkina bent vieną iš žemiau esančių papunkčių:</w:t>
      </w:r>
      <w:r>
        <w:rPr>
          <w:rFonts w:eastAsia="Cumberland"/>
          <w:color w:val="000000"/>
          <w:shd w:val="clear" w:color="auto" w:fill="FFFFFF"/>
          <w:lang w:eastAsia="lt-LT"/>
        </w:rPr>
        <w:t> </w:t>
      </w:r>
    </w:p>
    <w:p>
      <w:pPr>
        <w:tabs>
          <w:tab w:val="left" w:pos="567"/>
          <w:tab w:val="left" w:pos="5103"/>
          <w:tab w:val="left" w:pos="5387"/>
        </w:tabs>
        <w:ind w:firstLine="851"/>
        <w:jc w:val="both"/>
        <w:rPr>
          <w:color w:val="000000"/>
          <w:shd w:val="clear" w:color="auto" w:fill="FFFFFF"/>
          <w:lang w:eastAsia="lt-LT"/>
        </w:rPr>
      </w:pPr>
      <w:r>
        <w:rPr>
          <w:rFonts w:eastAsia="Cumberland"/>
          <w:color w:val="000000"/>
          <w:shd w:val="clear" w:color="auto" w:fill="FFFFFF"/>
          <w:lang w:eastAsia="lt-LT"/>
        </w:rPr>
        <w:t>4.1</w:t>
      </w:r>
      <w:r>
        <w:rPr>
          <w:rFonts w:eastAsia="Cumberland"/>
          <w:color w:val="000000"/>
          <w:shd w:val="clear" w:color="auto" w:fill="FFFFFF"/>
          <w:lang w:eastAsia="lt-LT"/>
        </w:rPr>
        <w:t xml:space="preserve">. </w:t>
      </w:r>
      <w:r>
        <w:rPr>
          <w:color w:val="000000"/>
          <w:shd w:val="clear" w:color="auto" w:fill="FFFFFF"/>
          <w:lang w:eastAsia="lt-LT"/>
        </w:rPr>
        <w:t> 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w:t>
      </w:r>
    </w:p>
    <w:p>
      <w:pPr>
        <w:suppressAutoHyphens/>
        <w:ind w:firstLine="851"/>
        <w:jc w:val="both"/>
        <w:rPr>
          <w:lang w:eastAsia="lt-LT"/>
        </w:rPr>
      </w:pPr>
      <w:r>
        <w:rPr>
          <w:color w:val="000000"/>
          <w:shd w:val="clear" w:color="auto" w:fill="FFFFFF"/>
          <w:lang w:eastAsia="lt-LT"/>
        </w:rPr>
        <w:t>4.2</w:t>
      </w:r>
      <w:r>
        <w:rPr>
          <w:color w:val="000000"/>
          <w:shd w:val="clear" w:color="auto" w:fill="FFFFFF"/>
          <w:lang w:eastAsia="lt-LT"/>
        </w:rPr>
        <w:t xml:space="preserve">. </w:t>
      </w:r>
      <w:r>
        <w:rPr>
          <w:lang w:val="lt" w:eastAsia="lt-LT"/>
        </w:rPr>
        <w:t>neatsižvelgiant, ar yra produktų sąraše, atitinka jam nustatytus I tipo ekologinio ženklo reikalavimus pagal standartą LST EN ISO 14024 „Aplinkosauginiai ženklai ir aplinkosauginės deklaracijos. I tipo aplinkosauginis ženklinimas. Principai ir procedūros“ ir yra paženklintas I tipo ekologiniu ženklu arba kitu tiekėjo pateiktu lygiaverčiu įrodymu (pvz., EU Ecolabel, Nordic Swan, Blue Angel, El Distintiu, Milieukeur, Österreichisches Umweltzeichen, NF Environnement, The Hungarian Eco-label, Polish Eco Mark-Znak EKO arba kitu I tipo ekologiniu ženklu</w:t>
      </w:r>
      <w:r>
        <w:rPr>
          <w:lang w:eastAsia="lt-LT"/>
        </w:rPr>
        <w:t>);</w:t>
      </w:r>
    </w:p>
    <w:p>
      <w:pPr>
        <w:suppressAutoHyphens/>
        <w:ind w:firstLine="851"/>
        <w:jc w:val="both"/>
        <w:rPr>
          <w:lang w:eastAsia="lt-LT"/>
        </w:rPr>
      </w:pPr>
      <w:r>
        <w:rPr>
          <w:lang w:eastAsia="lt-LT"/>
        </w:rPr>
        <w:t>4.3</w:t>
      </w:r>
      <w:r>
        <w:rPr>
          <w:lang w:eastAsia="lt-LT"/>
        </w:rPr>
        <w:t xml:space="preserve">. nėra produktų sąraše, bet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 </w:t>
      </w:r>
    </w:p>
    <w:p>
      <w:pPr>
        <w:suppressAutoHyphens/>
        <w:ind w:firstLine="851"/>
        <w:jc w:val="both"/>
        <w:rPr>
          <w:lang w:eastAsia="lt-LT"/>
        </w:rPr>
      </w:pPr>
      <w:r>
        <w:rPr>
          <w:lang w:eastAsia="lt-LT"/>
        </w:rPr>
        <w:t>4.4</w:t>
      </w:r>
      <w:r>
        <w:rPr>
          <w:lang w:eastAsia="lt-LT"/>
        </w:rPr>
        <w:t>. nėra produktų sąraše, tačiau:</w:t>
      </w:r>
    </w:p>
    <w:p>
      <w:pPr>
        <w:suppressAutoHyphens/>
        <w:ind w:firstLine="851"/>
        <w:jc w:val="both"/>
      </w:pPr>
      <w:r>
        <w:rPr>
          <w:lang w:eastAsia="lt-LT"/>
        </w:rPr>
        <w:t>4.4.1</w:t>
      </w:r>
      <w:r>
        <w:rPr>
          <w:lang w:eastAsia="lt-LT"/>
        </w:rPr>
        <w:t xml:space="preserve">. </w:t>
      </w:r>
      <w:r>
        <w:t>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p>
    <w:p>
      <w:pPr>
        <w:suppressAutoHyphens/>
        <w:ind w:firstLine="851"/>
        <w:jc w:val="both"/>
      </w:pPr>
      <w:r>
        <w:t>4.4.2</w:t>
      </w:r>
      <w:r>
        <w:t>. perkama inovacija, sukuriant naują arba iš esmės pagerintą produktą, paslaugas ar procesą, įskaitant gamybos, statybos, konstravimo ar kitus procesus, darantį kuo mažesnę neigiamą įtaką klimato kaitai, aplinkos taršai, atliekų tvarkymui, gamtos išteklių naudojimui, ekosistemų ir jų paslaugų būklei ir (ar) kitam neigiamam poveikiui aplinkai, palyginti su rinkoje egzistuojančiais produktais, paslaugomis ar procesais;</w:t>
      </w:r>
    </w:p>
    <w:p>
      <w:pPr>
        <w:suppressAutoHyphens/>
        <w:ind w:firstLine="851"/>
        <w:jc w:val="both"/>
      </w:pPr>
      <w:r>
        <w:rPr>
          <w:rFonts w:eastAsia="Calibri"/>
          <w:kern w:val="2"/>
          <w:szCs w:val="24"/>
          <w14:ligatures w14:val="standardContextual"/>
        </w:rPr>
        <w:t>4.4.3</w:t>
      </w:r>
      <w:r>
        <w:rPr>
          <w:rFonts w:eastAsia="Calibri"/>
          <w:kern w:val="2"/>
          <w:szCs w:val="24"/>
          <w14:ligatures w14:val="standardContextual"/>
        </w:rPr>
        <w:t>. 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 arba perkama prekė: programinė įranga, programinės įrangos nuoma, licencijos, elektroniniai leidiniai ar elektroninės knygos;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suppressAutoHyphens/>
        <w:ind w:firstLine="851"/>
        <w:jc w:val="both"/>
      </w:pPr>
      <w:r>
        <w:t>4.4.4</w:t>
      </w:r>
      <w:r>
        <w:t xml:space="preserve">. pirkdamas produktą pirkimo vykdytojas savarankiškai nustato aplinkos apsaugos kriterijus, kurie yra susiję su pirkimo objektu, taikydamas bent vieną iš numatytų aplinkosauginių principų viename, keliuose ar visuose produkto gyvavimo ciklo etapuose: </w:t>
      </w:r>
    </w:p>
    <w:p>
      <w:pPr>
        <w:tabs>
          <w:tab w:val="left" w:pos="567"/>
          <w:tab w:val="left" w:pos="5103"/>
          <w:tab w:val="left" w:pos="5387"/>
        </w:tabs>
        <w:suppressAutoHyphens/>
        <w:ind w:firstLine="851"/>
        <w:jc w:val="both"/>
        <w:rPr>
          <w:lang w:eastAsia="lt-LT"/>
        </w:rPr>
      </w:pPr>
      <w:r>
        <w:rPr>
          <w:lang w:eastAsia="lt-LT"/>
        </w:rPr>
        <w:t>4.4.4.1</w:t>
      </w:r>
      <w:r>
        <w:rPr>
          <w:lang w:eastAsia="lt-LT"/>
        </w:rPr>
        <w:t xml:space="preserve">. prekei pagaminti ir (ar) tiekti, paslaugai teikti ar darbams atlikti sunaudojama mažiau gamtos išteklių ir (ar) sudėtyje yra pakartotinai panaudotų ir (ar) perdirbtų medžiagų; </w:t>
      </w:r>
    </w:p>
    <w:p>
      <w:pPr>
        <w:tabs>
          <w:tab w:val="left" w:pos="567"/>
          <w:tab w:val="left" w:pos="5103"/>
          <w:tab w:val="left" w:pos="5387"/>
        </w:tabs>
        <w:suppressAutoHyphens/>
        <w:ind w:firstLine="851"/>
        <w:jc w:val="both"/>
        <w:rPr>
          <w:lang w:eastAsia="lt-LT"/>
        </w:rPr>
      </w:pPr>
      <w:r>
        <w:rPr>
          <w:lang w:eastAsia="lt-LT"/>
        </w:rPr>
        <w:t>4.4.4.2</w:t>
      </w:r>
      <w:r>
        <w:rPr>
          <w:lang w:eastAsia="lt-LT"/>
        </w:rPr>
        <w:t>. prekei pagaminti, tiekti ir (ar) naudoti, paslaugai teikti ar darbams atlikti sunaudojama mažiau elektros energijos ir (ar) naudojama energija iš atsinaujinančių energijos išteklių;</w:t>
      </w:r>
    </w:p>
    <w:p>
      <w:pPr>
        <w:tabs>
          <w:tab w:val="left" w:pos="567"/>
          <w:tab w:val="left" w:pos="5103"/>
          <w:tab w:val="left" w:pos="5387"/>
        </w:tabs>
        <w:suppressAutoHyphens/>
        <w:ind w:firstLine="851"/>
        <w:jc w:val="both"/>
        <w:rPr>
          <w:lang w:eastAsia="lt-LT"/>
        </w:rPr>
      </w:pPr>
      <w:r>
        <w:rPr>
          <w:lang w:eastAsia="lt-LT"/>
        </w:rPr>
        <w:t>4.4.4.3</w:t>
      </w:r>
      <w:r>
        <w:rPr>
          <w:lang w:eastAsia="lt-LT"/>
        </w:rPr>
        <w:t>. prekei pagaminti, paslaugai teikti ar darbams atlikti naudojama mažiau ar nenaudojama pavojingųjų cheminių medžiagų, neteršiama aplinka ir nekeliamas pavojus sveikatai;</w:t>
      </w:r>
    </w:p>
    <w:p>
      <w:pPr>
        <w:tabs>
          <w:tab w:val="left" w:pos="567"/>
          <w:tab w:val="left" w:pos="5103"/>
          <w:tab w:val="left" w:pos="5387"/>
        </w:tabs>
        <w:suppressAutoHyphens/>
        <w:ind w:firstLine="851"/>
        <w:jc w:val="both"/>
        <w:rPr>
          <w:lang w:eastAsia="lt-LT"/>
        </w:rPr>
      </w:pPr>
      <w:r>
        <w:rPr>
          <w:lang w:eastAsia="lt-LT"/>
        </w:rPr>
        <w:t>4.4.4.4</w:t>
      </w:r>
      <w:r>
        <w:rPr>
          <w:lang w:eastAsia="lt-LT"/>
        </w:rPr>
        <w:t xml:space="preserve">. prekė yra tvirta, ilgaamžė, funkcionali, ji ar jos sudedamosios dalys tinka naudoti daug kartų ir (ar) lengvai pataisomos, ir (ar) pakeičiamos; </w:t>
      </w:r>
    </w:p>
    <w:p>
      <w:pPr>
        <w:tabs>
          <w:tab w:val="left" w:pos="567"/>
          <w:tab w:val="left" w:pos="5103"/>
          <w:tab w:val="left" w:pos="5387"/>
        </w:tabs>
        <w:suppressAutoHyphens/>
        <w:ind w:firstLine="851"/>
        <w:jc w:val="both"/>
        <w:rPr>
          <w:rFonts w:eastAsia="Cumberland"/>
          <w:color w:val="000000"/>
          <w:lang w:eastAsia="lt-LT"/>
        </w:rPr>
      </w:pPr>
      <w:r>
        <w:rPr>
          <w:lang w:eastAsia="lt-LT"/>
        </w:rPr>
        <w:t>4.4.4.5</w:t>
      </w:r>
      <w:r>
        <w:rPr>
          <w:lang w:eastAsia="lt-LT"/>
        </w:rPr>
        <w:t>. prekė, virtusi atliekomis, tinka paruošti pakartotinai naudoti ar perdirbti.</w:t>
      </w:r>
    </w:p>
    <w:p>
      <w:pPr>
        <w:suppressAutoHyphens/>
        <w:ind w:firstLine="851"/>
        <w:jc w:val="both"/>
        <w:rPr>
          <w:lang w:eastAsia="lt-LT"/>
        </w:rPr>
      </w:pPr>
      <w:r>
        <w:rPr>
          <w:rFonts w:eastAsia="Calibri"/>
          <w:kern w:val="2"/>
          <w:szCs w:val="24"/>
          <w14:ligatures w14:val="standardContextual"/>
        </w:rPr>
        <w:t>5</w:t>
      </w:r>
      <w:r>
        <w:rPr>
          <w:rFonts w:eastAsia="Calibri"/>
          <w:kern w:val="2"/>
          <w:szCs w:val="24"/>
          <w14:ligatures w14:val="standardContextual"/>
        </w:rPr>
        <w:t>. Vykdant neskelbiamas derybas ar neskelbiamą mažos vertės pirkimą,</w:t>
      </w:r>
      <w:r>
        <w:rPr>
          <w:rFonts w:eastAsia="Calibri"/>
          <w:b/>
          <w:bCs/>
          <w:kern w:val="2"/>
          <w:szCs w:val="24"/>
          <w14:ligatures w14:val="standardContextual"/>
        </w:rPr>
        <w:t xml:space="preserve"> </w:t>
      </w:r>
      <w:r>
        <w:rPr>
          <w:rFonts w:eastAsia="Calibri"/>
          <w:kern w:val="2"/>
          <w:szCs w:val="24"/>
          <w14:ligatures w14:val="standardContextual"/>
        </w:rPr>
        <w:t>minimalūs aplinkos apsaugos kriterijai taikomi pasirinktinai – pirkimo vykdytojas vykdo žaliąjį pirkimą vadovaudamasis bet kuriuo (-ais) tvarkos aprašo 4 punkto papunkčiu (-ais), neatsižvelgdamas, ar produktas įtrauktas į produktų sąrašą.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tabs>
          <w:tab w:val="left" w:pos="567"/>
          <w:tab w:val="left" w:pos="5103"/>
          <w:tab w:val="left" w:pos="5387"/>
        </w:tabs>
        <w:suppressAutoHyphens/>
        <w:ind w:firstLine="851"/>
        <w:jc w:val="both"/>
      </w:pPr>
      <w:r>
        <w:t>6</w:t>
      </w:r>
      <w:r>
        <w:t>. Jeigu įsigyjama produktų sąraše esanti prekė, kuri turi būti tiekiama ar perduodama antrinėje pakuotėje, ji turi atitikti pakuotėms nustatytus minimalius aplinkos apsaugos kriterijus (2 priedo II skyrius „Pakuotės“), nebent tai prieštarauja higienos normoms.</w:t>
      </w:r>
    </w:p>
    <w:p>
      <w:pPr>
        <w:tabs>
          <w:tab w:val="left" w:pos="567"/>
          <w:tab w:val="left" w:pos="5103"/>
          <w:tab w:val="left" w:pos="5387"/>
        </w:tabs>
        <w:suppressAutoHyphens/>
        <w:ind w:firstLine="851"/>
        <w:jc w:val="both"/>
        <w:rPr>
          <w:lang w:val="en-US"/>
        </w:rPr>
      </w:pPr>
      <w:r>
        <w:t>7</w:t>
      </w:r>
      <w:r>
        <w:t>. Jeigu pirkimo vykdytojas, vykdydamas pirkimą, taiko Tvarkos aprašo 4.2, 4.3 ar 4.4.4 papunkčiais nustatytus reikalavimus ne visam pirkimo objektui, o tik jo daliai, kurios vertė sudaro daugiau kaip 50 procentų visos pirkimo vertės, toks pirkimas yra priskiriamas prie žaliųjų pirkimų.</w:t>
      </w:r>
    </w:p>
    <w:p>
      <w:pPr>
        <w:suppressAutoHyphens/>
        <w:ind w:firstLine="851"/>
        <w:jc w:val="both"/>
        <w:rPr>
          <w:lang w:val="en-US"/>
        </w:rPr>
      </w:pPr>
      <w:r>
        <w:rPr>
          <w:rFonts w:eastAsia="Calibri"/>
          <w:kern w:val="2"/>
          <w:szCs w:val="24"/>
          <w14:ligatures w14:val="standardContextual"/>
        </w:rPr>
        <w:t>7</w:t>
      </w:r>
      <w:r>
        <w:rPr>
          <w:rFonts w:eastAsia="Calibri"/>
          <w:kern w:val="2"/>
          <w:szCs w:val="24"/>
          <w:vertAlign w:val="superscript"/>
          <w14:ligatures w14:val="standardContextual"/>
        </w:rPr>
        <w:t>1</w:t>
      </w:r>
      <w:r>
        <w:rPr>
          <w:rFonts w:eastAsia="Calibri"/>
          <w:kern w:val="2"/>
          <w:szCs w:val="24"/>
          <w14:ligatures w14:val="standardContextual"/>
        </w:rPr>
        <w:t>. Jeigu pirkimo vykdytojas įsivertina, kad nėra galimybės kuro ar degalų, atitinkančių tvarkos aprašo 2 priedo XIX skyriuje nustatytus minimalius aplinkos apsaugos kriterijus, pritaikyti eksploatuojant turimą įrangą ar techniką, arba atlikęs planuojamo pirkimo rinkos tyrimą ar konsultaciją dėl kuro ar degalų, atitinkančių minimalius aplinkos apsaugos kriterijus, nustato, jog šio kuro ar degalų rinkoje nėra, ar toks pirkimas būtų neracionalus ekonominiu požiūriu, jis gali vykdyti žaliąjį pirkimą vadovaudamasis kitu tvarkos aprašo 4 punkto papunkčiu (-ais).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tabs>
          <w:tab w:val="left" w:pos="567"/>
          <w:tab w:val="left" w:pos="5103"/>
          <w:tab w:val="left" w:pos="5387"/>
        </w:tabs>
        <w:ind w:firstLine="851"/>
        <w:jc w:val="both"/>
      </w:pPr>
      <w:r>
        <w:t>8</w:t>
      </w:r>
      <w:r>
        <w:t>. Pirkimo vykdytojas atliktų žaliųjų pirkimų procentą skaičiuoja lygindamas įvykdytų žaliųjų pirkimų vertę su bendra visų pirkimų verte, neįskaitant</w:t>
      </w:r>
      <w:r>
        <w:rPr>
          <w:lang w:eastAsia="lt-LT"/>
        </w:rPr>
        <w:t xml:space="preserve"> </w:t>
      </w:r>
      <w:r>
        <w:t xml:space="preserve">teisės aktuose numatytų žaliųjų pirkimų reikalavimų taikymo išimčių, pagal formulę: </w:t>
      </w:r>
    </w:p>
    <w:p>
      <w:pPr>
        <w:tabs>
          <w:tab w:val="left" w:pos="567"/>
          <w:tab w:val="left" w:pos="5103"/>
          <w:tab w:val="left" w:pos="5387"/>
        </w:tabs>
        <w:ind w:firstLine="851"/>
        <w:jc w:val="both"/>
        <w:rPr>
          <w:szCs w:val="24"/>
        </w:rPr>
      </w:pPr>
      <w:r>
        <w:rPr>
          <w:szCs w:val="24"/>
          <w:lang w:eastAsia="lt-LT"/>
        </w:rPr>
        <w:drawing>
          <wp:inline distT="0" distB="0" distL="0" distR="0">
            <wp:extent cx="1158240" cy="621665"/>
            <wp:effectExtent l="0" t="0" r="3810" b="698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58240" cy="621665"/>
                    </a:xfrm>
                    <a:prstGeom prst="rect">
                      <a:avLst/>
                    </a:prstGeom>
                    <a:noFill/>
                  </pic:spPr>
                </pic:pic>
              </a:graphicData>
            </a:graphic>
          </wp:inline>
        </w:drawing>
      </w:r>
    </w:p>
    <w:p>
      <w:pPr>
        <w:tabs>
          <w:tab w:val="left" w:pos="567"/>
          <w:tab w:val="left" w:pos="5103"/>
          <w:tab w:val="left" w:pos="5387"/>
        </w:tabs>
        <w:ind w:firstLine="913"/>
        <w:jc w:val="both"/>
        <w:rPr>
          <w:szCs w:val="24"/>
        </w:rPr>
      </w:pPr>
    </w:p>
    <w:p>
      <w:pPr>
        <w:tabs>
          <w:tab w:val="left" w:pos="567"/>
          <w:tab w:val="left" w:pos="5103"/>
          <w:tab w:val="left" w:pos="5387"/>
        </w:tabs>
        <w:suppressAutoHyphens/>
        <w:ind w:firstLine="851"/>
        <w:jc w:val="both"/>
      </w:pPr>
    </w:p>
    <w:p>
      <w:pPr>
        <w:tabs>
          <w:tab w:val="left" w:pos="567"/>
          <w:tab w:val="left" w:pos="5103"/>
          <w:tab w:val="left" w:pos="5387"/>
        </w:tabs>
        <w:ind w:firstLine="851"/>
        <w:jc w:val="both"/>
      </w:pPr>
      <w:r>
        <w:t>kur:</w:t>
      </w:r>
    </w:p>
    <w:p>
      <w:pPr>
        <w:tabs>
          <w:tab w:val="left" w:pos="567"/>
          <w:tab w:val="left" w:pos="5103"/>
          <w:tab w:val="left" w:pos="5387"/>
        </w:tabs>
        <w:ind w:firstLine="851"/>
        <w:jc w:val="both"/>
      </w:pPr>
      <w:r>
        <w:t>R – žaliųjų pirkimų reikšmė (%);</w:t>
      </w:r>
    </w:p>
    <w:p>
      <w:pPr>
        <w:tabs>
          <w:tab w:val="left" w:pos="567"/>
          <w:tab w:val="left" w:pos="5103"/>
          <w:tab w:val="left" w:pos="5387"/>
        </w:tabs>
        <w:ind w:firstLine="851"/>
        <w:jc w:val="both"/>
      </w:pPr>
      <w:r>
        <w:t>ŽP – žaliųjų pirkimų vertė;</w:t>
      </w:r>
    </w:p>
    <w:p>
      <w:pPr>
        <w:tabs>
          <w:tab w:val="left" w:pos="567"/>
          <w:tab w:val="left" w:pos="5103"/>
          <w:tab w:val="left" w:pos="5387"/>
        </w:tabs>
        <w:ind w:firstLine="851"/>
        <w:jc w:val="both"/>
      </w:pPr>
      <w:r>
        <w:t>PB – bendra visų pirkimų vertė (neįskaitant teisės aktuose numatytų žaliųjų pirkimų reikalavimų taikymo išimčių).</w:t>
      </w:r>
    </w:p>
    <w:p>
      <w:pPr>
        <w:tabs>
          <w:tab w:val="left" w:pos="567"/>
          <w:tab w:val="left" w:pos="5103"/>
          <w:tab w:val="left" w:pos="5387"/>
        </w:tabs>
        <w:ind w:firstLine="5103"/>
        <w:rPr>
          <w:szCs w:val="24"/>
        </w:rPr>
      </w:pPr>
    </w:p>
    <w:p>
      <w:pPr>
        <w:keepNext/>
        <w:suppressAutoHyphens/>
        <w:jc w:val="center"/>
        <w:rPr>
          <w:b/>
          <w:bCs/>
          <w:szCs w:val="24"/>
          <w:lang w:val="lt" w:eastAsia="lt-LT"/>
        </w:rPr>
      </w:pPr>
      <w:r>
        <w:rPr>
          <w:b/>
          <w:bCs/>
          <w:szCs w:val="24"/>
          <w:lang w:val="lt" w:eastAsia="lt-LT"/>
        </w:rPr>
        <w:t>III</w:t>
      </w:r>
      <w:r>
        <w:rPr>
          <w:b/>
          <w:bCs/>
          <w:szCs w:val="24"/>
          <w:lang w:val="lt" w:eastAsia="lt-LT"/>
        </w:rPr>
        <w:t xml:space="preserve"> SKYRIUS</w:t>
      </w:r>
    </w:p>
    <w:p>
      <w:pPr>
        <w:keepNext/>
        <w:suppressAutoHyphens/>
        <w:jc w:val="center"/>
        <w:rPr>
          <w:b/>
          <w:bCs/>
          <w:szCs w:val="24"/>
          <w:lang w:eastAsia="lt-LT"/>
        </w:rPr>
      </w:pPr>
      <w:r>
        <w:rPr>
          <w:b/>
          <w:bCs/>
          <w:szCs w:val="24"/>
          <w:lang w:val="lt" w:eastAsia="lt-LT"/>
        </w:rPr>
        <w:t>ATITIKTĮ ŽALIOJO PIRKIMO REIKALAVIMAMS ĮRODANTYS DOKUMENTAI</w:t>
      </w:r>
    </w:p>
    <w:p>
      <w:pPr>
        <w:keepNext/>
        <w:suppressAutoHyphens/>
        <w:jc w:val="center"/>
        <w:rPr>
          <w:b/>
          <w:bCs/>
          <w:szCs w:val="24"/>
          <w:lang w:val="lt" w:eastAsia="lt-LT"/>
        </w:rPr>
      </w:pPr>
    </w:p>
    <w:p>
      <w:pPr>
        <w:ind w:firstLine="851"/>
        <w:jc w:val="both"/>
        <w:rPr>
          <w:lang w:eastAsia="en-GB"/>
        </w:rPr>
      </w:pPr>
      <w:r>
        <w:rPr>
          <w:lang w:eastAsia="en-GB"/>
        </w:rPr>
        <w:t>9</w:t>
      </w:r>
      <w:r>
        <w:rPr>
          <w:lang w:eastAsia="en-GB"/>
        </w:rPr>
        <w:t>. Galimi atitiktį žaliojo pirkimo reikalavimams įrodantys dokumentai, jeigu prie produktų minimalių aplinkos apsaugos kriterijų nenurodyta kitaip:</w:t>
      </w:r>
    </w:p>
    <w:p>
      <w:pPr>
        <w:suppressAutoHyphens/>
        <w:ind w:firstLine="851"/>
        <w:jc w:val="both"/>
      </w:pPr>
      <w:r>
        <w:rPr>
          <w:rFonts w:eastAsia="Calibri"/>
          <w:kern w:val="2"/>
          <w:szCs w:val="24"/>
          <w14:ligatures w14:val="standardContextual"/>
        </w:rPr>
        <w:t>9.1</w:t>
      </w:r>
      <w:r>
        <w:rPr>
          <w:rFonts w:eastAsia="Calibri"/>
          <w:kern w:val="2"/>
          <w:szCs w:val="24"/>
          <w14:ligatures w14:val="standardContextual"/>
        </w:rPr>
        <w:t>. 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kad priemonės ir (ar) produktai atitinka nustatytus reikalavimus, arba kiti lygiaverčiai įrodymai;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suppressAutoHyphens/>
        <w:ind w:firstLine="851"/>
        <w:jc w:val="both"/>
      </w:pPr>
      <w:r>
        <w:rPr>
          <w:rFonts w:eastAsia="Calibri"/>
          <w:kern w:val="2"/>
          <w:szCs w:val="24"/>
          <w14:ligatures w14:val="standardContextual"/>
        </w:rPr>
        <w:t>9</w:t>
      </w:r>
      <w:r>
        <w:rPr>
          <w:rFonts w:eastAsia="Calibri"/>
          <w:kern w:val="2"/>
          <w:szCs w:val="24"/>
          <w:vertAlign w:val="superscript"/>
          <w14:ligatures w14:val="standardContextual"/>
        </w:rPr>
        <w:t>1</w:t>
      </w:r>
      <w:r>
        <w:rPr>
          <w:rFonts w:eastAsia="Calibri"/>
          <w:kern w:val="2"/>
          <w:szCs w:val="24"/>
          <w14:ligatures w14:val="standardContextual"/>
        </w:rPr>
        <w:t>. Kai perkami pastatų statybos darbai ir pirkimo dokumentuose yra numatyti įpareigojimai taikyti Tvarkos aprašo 2 priedo XIII–XVI skyriuose produktams nustatytus minimalius aplinkos apsaugos kriterijus, atitiktį aplinkos apsaugos kriterijams pagrindžiančius dokumentus tiekėjas turi pateikti tų statybos darbų sutarties vykdymo metu.</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suppressAutoHyphens/>
        <w:ind w:firstLine="851"/>
        <w:jc w:val="both"/>
        <w:rPr>
          <w:lang w:eastAsia="en-GB"/>
        </w:rPr>
      </w:pPr>
      <w:r>
        <w:rPr>
          <w:lang w:eastAsia="lt-LT"/>
        </w:rPr>
        <w:t>9.2</w:t>
      </w:r>
      <w:r>
        <w:rPr>
          <w:lang w:eastAsia="lt-LT"/>
        </w:rPr>
        <w:t xml:space="preserve">. nepriklausomos šalies išduotas </w:t>
      </w:r>
      <w:r>
        <w:rPr>
          <w:lang w:eastAsia="en-GB"/>
        </w:rPr>
        <w:t>sertifikatas ar kitas lygiavertis dokumentas, kuriuo įrodoma atitiktis taikomiems standartams.</w:t>
      </w:r>
    </w:p>
    <w:p>
      <w:pPr>
        <w:ind w:firstLine="851"/>
        <w:jc w:val="both"/>
        <w:rPr>
          <w:lang w:val="lt"/>
        </w:rPr>
      </w:pPr>
      <w:r>
        <w:rPr>
          <w:lang w:val="lt"/>
        </w:rPr>
        <w:t>10</w:t>
      </w:r>
      <w:r>
        <w:rPr>
          <w:lang w:val="lt"/>
        </w:rPr>
        <w:t xml:space="preserve">. Kiti lygiaverčiai aplinkos apsaugos vadybos užtikrinimo priemonių įrodymai gali būti tiekėjo taikomų aplinkos apsaugos vadybos priemonių aprašymas, atitinkantis visus šiuos reikalavimus: </w:t>
      </w:r>
    </w:p>
    <w:p>
      <w:pPr>
        <w:ind w:firstLine="851"/>
        <w:jc w:val="both"/>
        <w:rPr>
          <w:lang w:val="lt"/>
        </w:rPr>
      </w:pPr>
      <w:r>
        <w:rPr>
          <w:lang w:val="lt"/>
        </w:rPr>
        <w:t>10.1</w:t>
      </w:r>
      <w:r>
        <w:rPr>
          <w:lang w:val="lt"/>
        </w:rPr>
        <w:t>. apibrėžta įmonės ar įstaigos vadovybės patvirtinta aplinkos apsaugos politika ir atitiktis aplinkos apsaugos reikalavimams teikiant paslaugas ir vykdant darbus;</w:t>
      </w:r>
    </w:p>
    <w:p>
      <w:pPr>
        <w:ind w:firstLine="851"/>
        <w:jc w:val="both"/>
        <w:rPr>
          <w:lang w:val="lt"/>
        </w:rPr>
      </w:pPr>
      <w:r>
        <w:rPr>
          <w:lang w:val="lt"/>
        </w:rPr>
        <w:t>10.2</w:t>
      </w:r>
      <w:r>
        <w:rPr>
          <w:lang w:val="lt"/>
        </w:rPr>
        <w:t xml:space="preserve">. nustatyti reikšmingiausi aplinkos apsaugos aspektai, kuriems poveikį daro arba gali daryti įmonės ar įstaigos vykdoma veikla, ir šiuos aplinkos apsaugos aspektus reglamentuojantys teisės aktai; </w:t>
      </w:r>
    </w:p>
    <w:p>
      <w:pPr>
        <w:ind w:firstLine="851"/>
        <w:jc w:val="both"/>
        <w:rPr>
          <w:lang w:val="lt"/>
        </w:rPr>
      </w:pPr>
      <w:r>
        <w:rPr>
          <w:lang w:val="lt"/>
        </w:rPr>
        <w:t>10.3</w:t>
      </w:r>
      <w:r>
        <w:rPr>
          <w:lang w:val="lt"/>
        </w:rPr>
        <w:t xml:space="preserve">. nustatyti aplinkosauginiai tikslai, uždaviniai ir priemonės šiems tikslams pasiekti; </w:t>
      </w:r>
    </w:p>
    <w:p>
      <w:pPr>
        <w:ind w:firstLine="851"/>
        <w:jc w:val="both"/>
        <w:rPr>
          <w:lang w:val="lt"/>
        </w:rPr>
      </w:pPr>
      <w:r>
        <w:rPr>
          <w:lang w:val="lt"/>
        </w:rPr>
        <w:t>10.4</w:t>
      </w:r>
      <w:r>
        <w:rPr>
          <w:lang w:val="lt"/>
        </w:rPr>
        <w:t xml:space="preserve">. numatyta aplinkosauginių tikslų įgyvendinimo stebėsena – paskirti atsakingi asmenys, nustatyta jų atsakomybė, pareigos ir priemonių įgyvendinimo terminai; </w:t>
      </w:r>
    </w:p>
    <w:p>
      <w:pPr>
        <w:ind w:firstLine="851"/>
        <w:jc w:val="both"/>
        <w:rPr>
          <w:lang w:val="lt"/>
        </w:rPr>
      </w:pPr>
      <w:r>
        <w:rPr>
          <w:lang w:val="lt"/>
        </w:rPr>
        <w:t>10.5</w:t>
      </w:r>
      <w:r>
        <w:rPr>
          <w:lang w:val="lt"/>
        </w:rPr>
        <w:t xml:space="preserve">. parengtas aplinkosauginių ir avarinių situacijų valdymo planas; </w:t>
      </w:r>
    </w:p>
    <w:p>
      <w:pPr>
        <w:ind w:firstLine="851"/>
        <w:jc w:val="both"/>
        <w:rPr>
          <w:lang w:val="lt"/>
        </w:rPr>
      </w:pPr>
      <w:r>
        <w:rPr>
          <w:lang w:val="lt"/>
        </w:rPr>
        <w:t>10.6</w:t>
      </w:r>
      <w:r>
        <w:rPr>
          <w:lang w:val="lt"/>
        </w:rPr>
        <w:t>. vykdoma aplinkosauginio gerinimo veiklos kontrolė (pvz., parengiamos metinės ataskaitos, kurios pateikiamos ir pristatomos įmonės vadovybei).</w:t>
      </w:r>
    </w:p>
    <w:p>
      <w:pPr>
        <w:ind w:firstLine="851"/>
        <w:jc w:val="both"/>
      </w:pPr>
    </w:p>
    <w:p>
      <w:pPr>
        <w:keepNext/>
        <w:suppressAutoHyphens/>
        <w:jc w:val="center"/>
        <w:rPr>
          <w:b/>
          <w:bCs/>
          <w:szCs w:val="24"/>
          <w:lang w:val="lt" w:eastAsia="lt-LT"/>
        </w:rPr>
      </w:pPr>
      <w:r>
        <w:rPr>
          <w:b/>
          <w:bCs/>
          <w:szCs w:val="24"/>
          <w:lang w:val="lt" w:eastAsia="lt-LT"/>
        </w:rPr>
        <w:t>IV</w:t>
      </w:r>
      <w:r>
        <w:rPr>
          <w:b/>
          <w:bCs/>
          <w:szCs w:val="24"/>
          <w:lang w:val="lt" w:eastAsia="lt-LT"/>
        </w:rPr>
        <w:t xml:space="preserve"> SKYRIUS</w:t>
      </w:r>
    </w:p>
    <w:p>
      <w:pPr>
        <w:keepNext/>
        <w:suppressAutoHyphens/>
        <w:jc w:val="center"/>
        <w:rPr>
          <w:b/>
          <w:bCs/>
          <w:lang w:val="lt" w:eastAsia="lt-LT"/>
        </w:rPr>
      </w:pPr>
      <w:r>
        <w:rPr>
          <w:b/>
          <w:bCs/>
          <w:lang w:val="lt" w:eastAsia="lt-LT"/>
        </w:rPr>
        <w:t>BAIGIAMOSIOS NUOSTATOS</w:t>
      </w:r>
    </w:p>
    <w:p>
      <w:pPr>
        <w:keepNext/>
        <w:suppressAutoHyphens/>
        <w:jc w:val="center"/>
        <w:rPr>
          <w:b/>
          <w:bCs/>
          <w:lang w:val="lt" w:eastAsia="lt-LT"/>
        </w:rPr>
      </w:pPr>
    </w:p>
    <w:p>
      <w:pPr>
        <w:ind w:firstLine="851"/>
        <w:jc w:val="both"/>
        <w:rPr>
          <w:szCs w:val="24"/>
        </w:rPr>
      </w:pPr>
      <w:r>
        <w:rPr>
          <w:lang w:eastAsia="en-GB"/>
        </w:rPr>
        <w:t>11</w:t>
      </w:r>
      <w:r>
        <w:rPr>
          <w:lang w:eastAsia="en-GB"/>
        </w:rPr>
        <w:t>. Duomenis apie pirkimo vykdytojų atliktus žaliuosius pirkimus kaupia Viešųjų pirkimų tarnyba, kuri kiekvienais metais per II kalendorinių metų ketvirtį stebėsenos duomenis pateikia Lietuvos Respublikos aplinkos ministerijai.</w:t>
      </w:r>
    </w:p>
    <w:p>
      <w:pPr>
        <w:ind w:firstLine="851"/>
        <w:jc w:val="both"/>
        <w:rPr>
          <w:lang w:eastAsia="en-GB"/>
        </w:rPr>
      </w:pPr>
    </w:p>
    <w:p>
      <w:pPr>
        <w:suppressAutoHyphens/>
        <w:jc w:val="center"/>
      </w:pPr>
      <w:r>
        <w:rPr>
          <w:lang w:eastAsia="lt-LT"/>
        </w:rPr>
        <w:t>_______________________________</w:t>
      </w:r>
    </w:p>
    <w:p>
      <w:pPr>
        <w:tabs>
          <w:tab w:val="left" w:pos="709"/>
          <w:tab w:val="left" w:pos="5103"/>
          <w:tab w:val="left" w:pos="5387"/>
        </w:tabs>
        <w:suppressAutoHyphens/>
        <w:ind w:left="5529"/>
        <w:sectPr>
          <w:pgSz w:w="11906" w:h="16838"/>
          <w:pgMar w:top="1701" w:right="567" w:bottom="1134" w:left="1701" w:header="567" w:footer="567" w:gutter="0"/>
          <w:pgNumType w:start="1"/>
          <w:cols w:space="1296"/>
          <w:titlePg/>
          <w:docGrid w:linePitch="360"/>
        </w:sectPr>
      </w:pPr>
    </w:p>
    <w:p>
      <w:pPr>
        <w:tabs>
          <w:tab w:val="left" w:pos="709"/>
          <w:tab w:val="left" w:pos="5103"/>
          <w:tab w:val="left" w:pos="5387"/>
        </w:tabs>
        <w:suppressAutoHyphens/>
        <w:ind w:left="5529"/>
      </w:pPr>
      <w:r>
        <w:t xml:space="preserve">Aplinkos apsaugos kriterijų taikymo, </w:t>
      </w:r>
    </w:p>
    <w:p>
      <w:pPr>
        <w:tabs>
          <w:tab w:val="left" w:pos="709"/>
          <w:tab w:val="left" w:pos="5103"/>
          <w:tab w:val="left" w:pos="5387"/>
        </w:tabs>
        <w:suppressAutoHyphens/>
        <w:ind w:left="5529"/>
      </w:pPr>
      <w:r>
        <w:t xml:space="preserve">vykdant žaliuosius pirkimus, tvarkos </w:t>
      </w:r>
    </w:p>
    <w:p>
      <w:pPr>
        <w:tabs>
          <w:tab w:val="left" w:pos="709"/>
          <w:tab w:val="left" w:pos="5103"/>
          <w:tab w:val="left" w:pos="5387"/>
        </w:tabs>
        <w:suppressAutoHyphens/>
        <w:ind w:left="5529"/>
      </w:pPr>
      <w:r>
        <w:t xml:space="preserve">aprašo </w:t>
      </w:r>
    </w:p>
    <w:p>
      <w:pPr>
        <w:tabs>
          <w:tab w:val="left" w:pos="709"/>
          <w:tab w:val="left" w:pos="5103"/>
          <w:tab w:val="left" w:pos="5387"/>
        </w:tabs>
        <w:suppressAutoHyphens/>
        <w:ind w:left="5529"/>
      </w:pPr>
      <w:r>
        <w:t>1</w:t>
      </w:r>
      <w:r>
        <w:t xml:space="preserve"> priedas </w:t>
      </w:r>
    </w:p>
    <w:p>
      <w:pPr>
        <w:tabs>
          <w:tab w:val="center" w:pos="9072"/>
        </w:tabs>
        <w:suppressAutoHyphens/>
        <w:ind w:firstLine="15"/>
        <w:jc w:val="center"/>
        <w:rPr>
          <w:b/>
          <w:bCs/>
          <w:szCs w:val="24"/>
          <w:lang w:eastAsia="lt-LT"/>
        </w:rPr>
      </w:pPr>
    </w:p>
    <w:p>
      <w:pPr>
        <w:tabs>
          <w:tab w:val="center" w:pos="9072"/>
        </w:tabs>
        <w:suppressAutoHyphens/>
        <w:ind w:firstLine="15"/>
        <w:jc w:val="center"/>
        <w:rPr>
          <w:b/>
          <w:bCs/>
          <w:szCs w:val="24"/>
          <w:lang w:eastAsia="lt-LT"/>
        </w:rPr>
      </w:pPr>
    </w:p>
    <w:p>
      <w:pPr>
        <w:tabs>
          <w:tab w:val="center" w:pos="9072"/>
        </w:tabs>
        <w:suppressAutoHyphens/>
        <w:ind w:firstLine="15"/>
        <w:jc w:val="center"/>
        <w:rPr>
          <w:b/>
          <w:bCs/>
          <w:szCs w:val="24"/>
          <w:lang w:eastAsia="lt-LT"/>
        </w:rPr>
      </w:pPr>
      <w:r>
        <w:rPr>
          <w:b/>
          <w:bCs/>
          <w:szCs w:val="24"/>
          <w:lang w:eastAsia="lt-LT"/>
        </w:rPr>
        <w:t xml:space="preserve">PRODUKTŲ, KURIŲ VIEŠIESIEMS PIRKIMAMS IR PIRKIMAMS TAIKYTINI </w:t>
      </w:r>
    </w:p>
    <w:p>
      <w:pPr>
        <w:tabs>
          <w:tab w:val="left" w:pos="567"/>
          <w:tab w:val="center" w:pos="9072"/>
        </w:tabs>
        <w:suppressAutoHyphens/>
        <w:ind w:firstLine="15"/>
        <w:jc w:val="center"/>
        <w:rPr>
          <w:b/>
          <w:bCs/>
          <w:szCs w:val="24"/>
          <w:lang w:eastAsia="lt-LT"/>
        </w:rPr>
      </w:pPr>
      <w:r>
        <w:rPr>
          <w:b/>
          <w:bCs/>
          <w:szCs w:val="24"/>
          <w:lang w:eastAsia="lt-LT"/>
        </w:rPr>
        <w:t xml:space="preserve">MINIMALŪS APLINKOS APSAUGOS KRITERIJAI, </w:t>
      </w:r>
    </w:p>
    <w:p>
      <w:pPr>
        <w:tabs>
          <w:tab w:val="left" w:pos="567"/>
          <w:tab w:val="center" w:pos="9072"/>
        </w:tabs>
        <w:suppressAutoHyphens/>
        <w:ind w:firstLine="15"/>
        <w:jc w:val="center"/>
        <w:rPr>
          <w:b/>
          <w:bCs/>
          <w:szCs w:val="24"/>
          <w:lang w:eastAsia="lt-LT"/>
        </w:rPr>
      </w:pPr>
      <w:r>
        <w:rPr>
          <w:b/>
          <w:bCs/>
          <w:szCs w:val="24"/>
          <w:lang w:eastAsia="lt-LT"/>
        </w:rPr>
        <w:t>SĄRAŠAS</w:t>
      </w:r>
    </w:p>
    <w:p>
      <w:pPr>
        <w:rPr>
          <w:lang w:eastAsia="lt-LT"/>
        </w:rPr>
      </w:pPr>
    </w:p>
    <w:p>
      <w:pPr>
        <w:ind w:firstLine="851"/>
        <w:jc w:val="both"/>
        <w:rPr>
          <w:color w:val="000000"/>
          <w:szCs w:val="24"/>
          <w:lang w:val="en-GB" w:eastAsia="en-GB"/>
        </w:rPr>
      </w:pPr>
      <w:r>
        <w:rPr>
          <w:color w:val="000000"/>
          <w:szCs w:val="24"/>
          <w:lang w:eastAsia="en-GB"/>
        </w:rPr>
        <w:t>1</w:t>
      </w:r>
      <w:r>
        <w:rPr>
          <w:color w:val="000000"/>
          <w:szCs w:val="24"/>
          <w:lang w:eastAsia="en-GB"/>
        </w:rPr>
        <w:t>. Popierius ir jo gaminiai.</w:t>
      </w:r>
    </w:p>
    <w:p>
      <w:pPr>
        <w:ind w:firstLine="851"/>
        <w:jc w:val="both"/>
        <w:rPr>
          <w:color w:val="000000"/>
          <w:szCs w:val="24"/>
          <w:lang w:eastAsia="en-GB"/>
        </w:rPr>
      </w:pPr>
      <w:r>
        <w:rPr>
          <w:color w:val="000000"/>
          <w:szCs w:val="24"/>
          <w:lang w:eastAsia="en-GB"/>
        </w:rPr>
        <w:t>2</w:t>
      </w:r>
      <w:r>
        <w:rPr>
          <w:color w:val="000000"/>
          <w:szCs w:val="24"/>
          <w:lang w:eastAsia="en-GB"/>
        </w:rPr>
        <w:t>. Pakuotės.</w:t>
      </w:r>
    </w:p>
    <w:p>
      <w:pPr>
        <w:ind w:firstLine="851"/>
        <w:jc w:val="both"/>
        <w:rPr>
          <w:color w:val="000000"/>
          <w:szCs w:val="24"/>
          <w:lang w:val="en-GB" w:eastAsia="en-GB"/>
        </w:rPr>
      </w:pPr>
      <w:r>
        <w:rPr>
          <w:color w:val="000000"/>
          <w:szCs w:val="24"/>
          <w:lang w:eastAsia="en-GB"/>
        </w:rPr>
        <w:t>3</w:t>
      </w:r>
      <w:r>
        <w:rPr>
          <w:color w:val="000000"/>
          <w:szCs w:val="24"/>
          <w:lang w:eastAsia="en-GB"/>
        </w:rPr>
        <w:t>. Biuro įranga ir buitinė technika.</w:t>
      </w:r>
    </w:p>
    <w:p>
      <w:pPr>
        <w:ind w:firstLine="851"/>
        <w:jc w:val="both"/>
        <w:rPr>
          <w:color w:val="000000"/>
          <w:szCs w:val="24"/>
          <w:lang w:val="en-GB" w:eastAsia="en-GB"/>
        </w:rPr>
      </w:pPr>
      <w:r>
        <w:rPr>
          <w:color w:val="000000"/>
          <w:szCs w:val="24"/>
          <w:lang w:val="en-GB" w:eastAsia="en-GB"/>
        </w:rPr>
        <w:t>4</w:t>
      </w:r>
      <w:r>
        <w:rPr>
          <w:color w:val="000000"/>
          <w:szCs w:val="24"/>
          <w:lang w:eastAsia="en-GB"/>
        </w:rPr>
        <w:t xml:space="preserve">. Kompiuteriai ir planšetės. </w:t>
      </w:r>
    </w:p>
    <w:p>
      <w:pPr>
        <w:ind w:firstLine="851"/>
        <w:jc w:val="both"/>
        <w:rPr>
          <w:color w:val="000000"/>
          <w:szCs w:val="24"/>
          <w:lang w:val="en-GB" w:eastAsia="en-GB"/>
        </w:rPr>
      </w:pPr>
      <w:r>
        <w:rPr>
          <w:color w:val="000000"/>
          <w:szCs w:val="24"/>
          <w:lang w:eastAsia="en-GB"/>
        </w:rPr>
        <w:t>5</w:t>
      </w:r>
      <w:r>
        <w:rPr>
          <w:color w:val="000000"/>
          <w:szCs w:val="24"/>
          <w:lang w:eastAsia="en-GB"/>
        </w:rPr>
        <w:t>. Mobilieji telefonai.</w:t>
      </w:r>
    </w:p>
    <w:p>
      <w:pPr>
        <w:ind w:firstLine="851"/>
        <w:jc w:val="both"/>
        <w:rPr>
          <w:color w:val="000000"/>
          <w:szCs w:val="24"/>
          <w:lang w:val="en-GB" w:eastAsia="en-GB"/>
        </w:rPr>
      </w:pPr>
      <w:r>
        <w:rPr>
          <w:color w:val="000000"/>
          <w:szCs w:val="24"/>
          <w:lang w:eastAsia="en-GB"/>
        </w:rPr>
        <w:t>6</w:t>
      </w:r>
      <w:r>
        <w:rPr>
          <w:color w:val="000000"/>
          <w:szCs w:val="24"/>
          <w:lang w:eastAsia="en-GB"/>
        </w:rPr>
        <w:t>. Televizoriai ir monitoriai.</w:t>
      </w:r>
    </w:p>
    <w:p>
      <w:pPr>
        <w:ind w:firstLine="851"/>
        <w:jc w:val="both"/>
        <w:rPr>
          <w:color w:val="000000"/>
          <w:szCs w:val="24"/>
          <w:lang w:val="en-GB" w:eastAsia="en-GB"/>
        </w:rPr>
      </w:pPr>
      <w:r>
        <w:rPr>
          <w:color w:val="000000"/>
          <w:szCs w:val="24"/>
          <w:lang w:eastAsia="en-GB"/>
        </w:rPr>
        <w:t>7</w:t>
      </w:r>
      <w:r>
        <w:rPr>
          <w:color w:val="000000"/>
          <w:szCs w:val="24"/>
          <w:lang w:eastAsia="en-GB"/>
        </w:rPr>
        <w:t>. Baldai.</w:t>
      </w:r>
    </w:p>
    <w:p>
      <w:pPr>
        <w:suppressAutoHyphens/>
        <w:ind w:firstLine="851"/>
        <w:jc w:val="both"/>
        <w:rPr>
          <w:color w:val="000000"/>
          <w:szCs w:val="24"/>
          <w:lang w:val="en-GB" w:eastAsia="en-GB"/>
        </w:rPr>
      </w:pPr>
      <w:r>
        <w:rPr>
          <w:rFonts w:eastAsia="Calibri"/>
          <w:kern w:val="2"/>
          <w:szCs w:val="24"/>
          <w14:ligatures w14:val="standardContextual"/>
        </w:rPr>
        <w:t>8</w:t>
      </w:r>
      <w:r>
        <w:rPr>
          <w:rFonts w:eastAsia="Calibri"/>
          <w:kern w:val="2"/>
          <w:szCs w:val="24"/>
          <w14:ligatures w14:val="standardContextual"/>
        </w:rPr>
        <w:t>. Maisto produktai ir maitinimo paslaugos.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ind w:firstLine="851"/>
        <w:jc w:val="both"/>
        <w:rPr>
          <w:color w:val="000000"/>
          <w:szCs w:val="24"/>
          <w:lang w:val="en-GB" w:eastAsia="en-GB"/>
        </w:rPr>
      </w:pPr>
      <w:r>
        <w:rPr>
          <w:color w:val="000000"/>
          <w:szCs w:val="24"/>
          <w:lang w:eastAsia="en-GB"/>
        </w:rPr>
        <w:t>9</w:t>
      </w:r>
      <w:r>
        <w:rPr>
          <w:color w:val="000000"/>
          <w:szCs w:val="24"/>
          <w:lang w:eastAsia="en-GB"/>
        </w:rPr>
        <w:t>. Tekstilės gaminiai.</w:t>
      </w:r>
    </w:p>
    <w:p>
      <w:pPr>
        <w:ind w:firstLine="851"/>
        <w:jc w:val="both"/>
        <w:rPr>
          <w:color w:val="000000"/>
          <w:lang w:val="en-GB" w:eastAsia="en-GB"/>
        </w:rPr>
      </w:pPr>
      <w:r>
        <w:rPr>
          <w:color w:val="000000"/>
          <w:lang w:eastAsia="en-GB"/>
        </w:rPr>
        <w:t>10</w:t>
      </w:r>
      <w:r>
        <w:rPr>
          <w:color w:val="000000"/>
          <w:lang w:eastAsia="en-GB"/>
        </w:rPr>
        <w:t>. M ir N kategorijų kelių transporto priemonės:</w:t>
      </w:r>
    </w:p>
    <w:p>
      <w:pPr>
        <w:ind w:firstLine="851"/>
        <w:jc w:val="both"/>
        <w:rPr>
          <w:color w:val="000000"/>
          <w:lang w:val="en-GB" w:eastAsia="en-GB"/>
        </w:rPr>
      </w:pPr>
      <w:r>
        <w:rPr>
          <w:color w:val="000000"/>
          <w:lang w:eastAsia="en-GB"/>
        </w:rPr>
        <w:t>10.1</w:t>
      </w:r>
      <w:r>
        <w:rPr>
          <w:color w:val="000000"/>
          <w:lang w:eastAsia="en-GB"/>
        </w:rPr>
        <w:t>. M</w:t>
      </w:r>
      <w:r>
        <w:rPr>
          <w:color w:val="000000"/>
          <w:vertAlign w:val="subscript"/>
          <w:lang w:eastAsia="en-GB"/>
        </w:rPr>
        <w:t>1,</w:t>
      </w:r>
      <w:r>
        <w:rPr>
          <w:color w:val="000000"/>
          <w:lang w:eastAsia="en-GB"/>
        </w:rPr>
        <w:t> M</w:t>
      </w:r>
      <w:r>
        <w:rPr>
          <w:color w:val="000000"/>
          <w:vertAlign w:val="subscript"/>
          <w:lang w:eastAsia="en-GB"/>
        </w:rPr>
        <w:t>2</w:t>
      </w:r>
      <w:r>
        <w:rPr>
          <w:color w:val="000000"/>
          <w:lang w:eastAsia="en-GB"/>
        </w:rPr>
        <w:t xml:space="preserve"> ir N</w:t>
      </w:r>
      <w:r>
        <w:rPr>
          <w:color w:val="000000"/>
          <w:vertAlign w:val="subscript"/>
          <w:lang w:eastAsia="en-GB"/>
        </w:rPr>
        <w:t>1</w:t>
      </w:r>
      <w:r>
        <w:rPr>
          <w:color w:val="000000"/>
          <w:lang w:eastAsia="en-GB"/>
        </w:rPr>
        <w:t> klasių transporto priemonės;</w:t>
      </w:r>
    </w:p>
    <w:p>
      <w:pPr>
        <w:ind w:firstLine="851"/>
        <w:jc w:val="both"/>
        <w:rPr>
          <w:color w:val="000000"/>
          <w:lang w:val="en-GB" w:eastAsia="en-GB"/>
        </w:rPr>
      </w:pPr>
      <w:r>
        <w:rPr>
          <w:color w:val="000000"/>
          <w:lang w:eastAsia="en-GB"/>
        </w:rPr>
        <w:t>10.2</w:t>
      </w:r>
      <w:r>
        <w:rPr>
          <w:color w:val="000000"/>
          <w:lang w:eastAsia="en-GB"/>
        </w:rPr>
        <w:t>. M</w:t>
      </w:r>
      <w:r>
        <w:rPr>
          <w:color w:val="000000"/>
          <w:vertAlign w:val="subscript"/>
          <w:lang w:eastAsia="en-GB"/>
        </w:rPr>
        <w:t>3</w:t>
      </w:r>
      <w:r>
        <w:rPr>
          <w:color w:val="000000"/>
          <w:lang w:eastAsia="en-GB"/>
        </w:rPr>
        <w:t>, N</w:t>
      </w:r>
      <w:r>
        <w:rPr>
          <w:color w:val="000000"/>
          <w:vertAlign w:val="subscript"/>
          <w:lang w:eastAsia="en-GB"/>
        </w:rPr>
        <w:t>2</w:t>
      </w:r>
      <w:r>
        <w:rPr>
          <w:color w:val="000000"/>
          <w:lang w:eastAsia="en-GB"/>
        </w:rPr>
        <w:t> ir N</w:t>
      </w:r>
      <w:r>
        <w:rPr>
          <w:color w:val="000000"/>
          <w:vertAlign w:val="subscript"/>
          <w:lang w:eastAsia="en-GB"/>
        </w:rPr>
        <w:t>3</w:t>
      </w:r>
      <w:r>
        <w:rPr>
          <w:b/>
          <w:color w:val="000000"/>
          <w:lang w:eastAsia="en-GB"/>
        </w:rPr>
        <w:t> </w:t>
      </w:r>
      <w:r>
        <w:rPr>
          <w:color w:val="000000"/>
          <w:lang w:eastAsia="en-GB"/>
        </w:rPr>
        <w:t>klasių transporto priemonės.</w:t>
      </w:r>
    </w:p>
    <w:p>
      <w:pPr>
        <w:ind w:firstLine="851"/>
        <w:jc w:val="both"/>
        <w:rPr>
          <w:color w:val="000000"/>
          <w:szCs w:val="24"/>
          <w:lang w:val="en-GB" w:eastAsia="en-GB"/>
        </w:rPr>
      </w:pPr>
      <w:r>
        <w:rPr>
          <w:color w:val="000000"/>
          <w:lang w:eastAsia="en-GB"/>
        </w:rPr>
        <w:t>11</w:t>
      </w:r>
      <w:r>
        <w:rPr>
          <w:color w:val="000000"/>
          <w:lang w:eastAsia="en-GB"/>
        </w:rPr>
        <w:t>. Viešųjų erdvių, želdynų ir želdinių priežiūra ir tvarkymas:</w:t>
      </w:r>
    </w:p>
    <w:p>
      <w:pPr>
        <w:ind w:firstLine="851"/>
        <w:jc w:val="both"/>
        <w:rPr>
          <w:color w:val="000000"/>
          <w:lang w:val="en-GB" w:eastAsia="en-GB"/>
        </w:rPr>
      </w:pPr>
      <w:r>
        <w:rPr>
          <w:color w:val="000000"/>
          <w:lang w:eastAsia="en-GB"/>
        </w:rPr>
        <w:t>11.1</w:t>
      </w:r>
      <w:r>
        <w:rPr>
          <w:color w:val="000000"/>
          <w:lang w:eastAsia="en-GB"/>
        </w:rPr>
        <w:t>. dirvožemio savybes gerinančios medžiagos;</w:t>
      </w:r>
    </w:p>
    <w:p>
      <w:pPr>
        <w:ind w:firstLine="851"/>
        <w:jc w:val="both"/>
        <w:rPr>
          <w:color w:val="000000"/>
          <w:lang w:val="en-GB" w:eastAsia="en-GB"/>
        </w:rPr>
      </w:pPr>
      <w:r>
        <w:rPr>
          <w:color w:val="000000"/>
          <w:lang w:eastAsia="en-GB"/>
        </w:rPr>
        <w:t>11.2</w:t>
      </w:r>
      <w:r>
        <w:rPr>
          <w:color w:val="000000"/>
          <w:lang w:eastAsia="en-GB"/>
        </w:rPr>
        <w:t>. drėkinimo sistemos;</w:t>
      </w:r>
    </w:p>
    <w:p>
      <w:pPr>
        <w:ind w:firstLine="851"/>
        <w:jc w:val="both"/>
        <w:rPr>
          <w:color w:val="000000"/>
          <w:lang w:val="en-GB" w:eastAsia="en-GB"/>
        </w:rPr>
      </w:pPr>
      <w:r>
        <w:rPr>
          <w:color w:val="000000"/>
          <w:lang w:eastAsia="en-GB"/>
        </w:rPr>
        <w:t>11.3</w:t>
      </w:r>
      <w:r>
        <w:rPr>
          <w:color w:val="000000"/>
          <w:lang w:eastAsia="en-GB"/>
        </w:rPr>
        <w:t>. želdinių ir želdynų priežiūros motorinė technika.</w:t>
      </w:r>
    </w:p>
    <w:p>
      <w:pPr>
        <w:ind w:firstLine="851"/>
        <w:jc w:val="both"/>
        <w:rPr>
          <w:color w:val="000000"/>
          <w:szCs w:val="24"/>
          <w:lang w:val="en-GB" w:eastAsia="en-GB"/>
        </w:rPr>
      </w:pPr>
      <w:r>
        <w:rPr>
          <w:color w:val="000000"/>
          <w:szCs w:val="24"/>
          <w:lang w:eastAsia="en-GB"/>
        </w:rPr>
        <w:t>12</w:t>
      </w:r>
      <w:r>
        <w:rPr>
          <w:color w:val="000000"/>
          <w:szCs w:val="24"/>
          <w:lang w:eastAsia="en-GB"/>
        </w:rPr>
        <w:t>. Pastatų projektavimo paslaugos ir statybos darbai.</w:t>
      </w:r>
    </w:p>
    <w:p>
      <w:pPr>
        <w:ind w:firstLine="851"/>
        <w:jc w:val="both"/>
        <w:rPr>
          <w:color w:val="000000"/>
          <w:lang w:eastAsia="en-GB"/>
        </w:rPr>
      </w:pPr>
      <w:r>
        <w:rPr>
          <w:color w:val="000000"/>
          <w:lang w:eastAsia="en-GB"/>
        </w:rPr>
        <w:t>13</w:t>
      </w:r>
      <w:r>
        <w:rPr>
          <w:color w:val="000000"/>
          <w:lang w:eastAsia="en-GB"/>
        </w:rPr>
        <w:t xml:space="preserve">. Statybinės medžiagos: </w:t>
      </w:r>
    </w:p>
    <w:p>
      <w:pPr>
        <w:ind w:firstLine="851"/>
        <w:jc w:val="both"/>
        <w:rPr>
          <w:color w:val="000000"/>
          <w:lang w:eastAsia="en-GB"/>
        </w:rPr>
      </w:pPr>
      <w:r>
        <w:rPr>
          <w:color w:val="000000"/>
          <w:lang w:eastAsia="en-GB"/>
        </w:rPr>
        <w:t>13.1</w:t>
      </w:r>
      <w:r>
        <w:rPr>
          <w:color w:val="000000"/>
          <w:lang w:eastAsia="en-GB"/>
        </w:rPr>
        <w:t>. mediena ir jos produktai;</w:t>
      </w:r>
    </w:p>
    <w:p>
      <w:pPr>
        <w:ind w:firstLine="851"/>
        <w:jc w:val="both"/>
        <w:rPr>
          <w:color w:val="000000"/>
          <w:lang w:eastAsia="en-GB"/>
        </w:rPr>
      </w:pPr>
      <w:r>
        <w:rPr>
          <w:color w:val="000000"/>
          <w:lang w:eastAsia="en-GB"/>
        </w:rPr>
        <w:t>13.2</w:t>
      </w:r>
      <w:r>
        <w:rPr>
          <w:color w:val="000000"/>
          <w:lang w:eastAsia="en-GB"/>
        </w:rPr>
        <w:t>. dažai;</w:t>
      </w:r>
    </w:p>
    <w:p>
      <w:pPr>
        <w:ind w:firstLine="851"/>
        <w:jc w:val="both"/>
        <w:rPr>
          <w:color w:val="000000"/>
          <w:lang w:eastAsia="en-GB"/>
        </w:rPr>
      </w:pPr>
      <w:r>
        <w:rPr>
          <w:color w:val="000000"/>
          <w:lang w:eastAsia="en-GB"/>
        </w:rPr>
        <w:t>13.3</w:t>
      </w:r>
      <w:r>
        <w:rPr>
          <w:color w:val="000000"/>
          <w:lang w:eastAsia="en-GB"/>
        </w:rPr>
        <w:t>. termoizoliacinės medžiagos;</w:t>
      </w:r>
    </w:p>
    <w:p>
      <w:pPr>
        <w:ind w:firstLine="851"/>
        <w:jc w:val="both"/>
        <w:rPr>
          <w:color w:val="000000"/>
          <w:lang w:eastAsia="en-GB"/>
        </w:rPr>
      </w:pPr>
      <w:r>
        <w:rPr>
          <w:color w:val="000000"/>
          <w:lang w:eastAsia="en-GB"/>
        </w:rPr>
        <w:t>13.4</w:t>
      </w:r>
      <w:r>
        <w:rPr>
          <w:color w:val="000000"/>
          <w:lang w:eastAsia="en-GB"/>
        </w:rPr>
        <w:t>. gipso plokštės;</w:t>
      </w:r>
    </w:p>
    <w:p>
      <w:pPr>
        <w:ind w:firstLine="851"/>
        <w:jc w:val="both"/>
        <w:rPr>
          <w:color w:val="000000"/>
          <w:lang w:val="en-GB" w:eastAsia="en-GB"/>
        </w:rPr>
      </w:pPr>
      <w:r>
        <w:rPr>
          <w:color w:val="000000"/>
          <w:lang w:eastAsia="en-GB"/>
        </w:rPr>
        <w:t>13.5</w:t>
      </w:r>
      <w:r>
        <w:rPr>
          <w:color w:val="000000"/>
          <w:lang w:eastAsia="en-GB"/>
        </w:rPr>
        <w:t>. plytelės;</w:t>
      </w:r>
    </w:p>
    <w:p>
      <w:pPr>
        <w:ind w:firstLine="851"/>
        <w:jc w:val="both"/>
        <w:rPr>
          <w:color w:val="000000"/>
          <w:lang w:val="en-GB" w:eastAsia="en-GB"/>
        </w:rPr>
      </w:pPr>
      <w:r>
        <w:rPr>
          <w:color w:val="000000"/>
          <w:lang w:eastAsia="en-GB"/>
        </w:rPr>
        <w:t>13.6</w:t>
      </w:r>
      <w:r>
        <w:rPr>
          <w:color w:val="000000"/>
          <w:lang w:eastAsia="en-GB"/>
        </w:rPr>
        <w:t>. langai, stoglangiai ir išorinės įstiklintos durys.</w:t>
      </w:r>
    </w:p>
    <w:p>
      <w:pPr>
        <w:ind w:firstLine="851"/>
        <w:jc w:val="both"/>
        <w:rPr>
          <w:color w:val="000000"/>
          <w:szCs w:val="24"/>
          <w:lang w:val="en-GB" w:eastAsia="en-GB"/>
        </w:rPr>
      </w:pPr>
      <w:r>
        <w:rPr>
          <w:color w:val="000000"/>
          <w:szCs w:val="24"/>
          <w:lang w:eastAsia="en-GB"/>
        </w:rPr>
        <w:t>14</w:t>
      </w:r>
      <w:r>
        <w:rPr>
          <w:color w:val="000000"/>
          <w:szCs w:val="24"/>
          <w:lang w:eastAsia="en-GB"/>
        </w:rPr>
        <w:t>. Patalpų apšvietimas:</w:t>
      </w:r>
    </w:p>
    <w:p>
      <w:pPr>
        <w:ind w:firstLine="851"/>
        <w:jc w:val="both"/>
        <w:rPr>
          <w:color w:val="000000"/>
          <w:szCs w:val="24"/>
          <w:lang w:val="en-GB" w:eastAsia="en-GB"/>
        </w:rPr>
      </w:pPr>
      <w:r>
        <w:rPr>
          <w:color w:val="000000"/>
          <w:szCs w:val="24"/>
          <w:lang w:eastAsia="en-GB"/>
        </w:rPr>
        <w:t>14.1</w:t>
      </w:r>
      <w:r>
        <w:rPr>
          <w:color w:val="000000"/>
          <w:szCs w:val="24"/>
          <w:lang w:eastAsia="en-GB"/>
        </w:rPr>
        <w:t>. elektros lempos;</w:t>
      </w:r>
    </w:p>
    <w:p>
      <w:pPr>
        <w:ind w:firstLine="851"/>
        <w:jc w:val="both"/>
        <w:rPr>
          <w:color w:val="000000"/>
          <w:szCs w:val="24"/>
          <w:lang w:val="en-GB" w:eastAsia="en-GB"/>
        </w:rPr>
      </w:pPr>
      <w:r>
        <w:rPr>
          <w:color w:val="000000"/>
          <w:szCs w:val="24"/>
          <w:lang w:eastAsia="en-GB"/>
        </w:rPr>
        <w:t>14.2</w:t>
      </w:r>
      <w:r>
        <w:rPr>
          <w:color w:val="000000"/>
          <w:szCs w:val="24"/>
          <w:lang w:eastAsia="en-GB"/>
        </w:rPr>
        <w:t>. patalpų apšvietimo projektavimo paslaugos.</w:t>
      </w:r>
    </w:p>
    <w:p>
      <w:pPr>
        <w:suppressAutoHyphens/>
        <w:ind w:firstLine="851"/>
        <w:jc w:val="both"/>
        <w:rPr>
          <w:color w:val="000000"/>
          <w:lang w:eastAsia="en-GB"/>
        </w:rPr>
      </w:pPr>
      <w:r>
        <w:rPr>
          <w:rFonts w:eastAsia="Calibri"/>
          <w:kern w:val="2"/>
          <w:szCs w:val="28"/>
          <w14:ligatures w14:val="standardContextual"/>
        </w:rPr>
        <w:t>15</w:t>
      </w:r>
      <w:r>
        <w:rPr>
          <w:rFonts w:eastAsia="Calibri"/>
          <w:kern w:val="2"/>
          <w:szCs w:val="28"/>
          <w14:ligatures w14:val="standardContextual"/>
        </w:rPr>
        <w:t xml:space="preserve">. </w:t>
      </w:r>
      <w:r>
        <w:rPr>
          <w:color w:val="000000"/>
          <w:lang w:eastAsia="en-GB"/>
        </w:rPr>
        <w:t>Vandens</w:t>
      </w:r>
      <w:r>
        <w:rPr>
          <w:b/>
          <w:bCs/>
          <w:color w:val="000000"/>
          <w:lang w:eastAsia="en-GB"/>
        </w:rPr>
        <w:t xml:space="preserve"> </w:t>
      </w:r>
      <w:r>
        <w:rPr>
          <w:color w:val="000000"/>
          <w:lang w:eastAsia="en-GB"/>
        </w:rPr>
        <w:t>maišytuvai ir dušai.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ind w:firstLine="851"/>
        <w:jc w:val="both"/>
        <w:rPr>
          <w:color w:val="000000"/>
          <w:szCs w:val="24"/>
          <w:lang w:val="en-GB" w:eastAsia="en-GB"/>
        </w:rPr>
      </w:pPr>
      <w:r>
        <w:rPr>
          <w:color w:val="000000"/>
          <w:szCs w:val="24"/>
          <w:lang w:eastAsia="en-GB"/>
        </w:rPr>
        <w:t>16</w:t>
      </w:r>
      <w:r>
        <w:rPr>
          <w:color w:val="000000"/>
          <w:szCs w:val="24"/>
          <w:lang w:eastAsia="en-GB"/>
        </w:rPr>
        <w:t>. Vandens šildytuvai.</w:t>
      </w:r>
    </w:p>
    <w:p>
      <w:pPr>
        <w:ind w:firstLine="851"/>
        <w:jc w:val="both"/>
        <w:rPr>
          <w:color w:val="000000"/>
          <w:szCs w:val="24"/>
          <w:lang w:eastAsia="en-GB"/>
        </w:rPr>
      </w:pPr>
      <w:r>
        <w:rPr>
          <w:color w:val="000000"/>
          <w:szCs w:val="24"/>
          <w:lang w:eastAsia="en-GB"/>
        </w:rPr>
        <w:t>17</w:t>
      </w:r>
      <w:r>
        <w:rPr>
          <w:color w:val="000000"/>
          <w:szCs w:val="24"/>
          <w:lang w:eastAsia="en-GB"/>
        </w:rPr>
        <w:t>. Kelių projektavimo paslaugos ir statybos darbai, kelio elementai:</w:t>
      </w:r>
    </w:p>
    <w:p>
      <w:pPr>
        <w:ind w:firstLine="851"/>
        <w:jc w:val="both"/>
        <w:rPr>
          <w:color w:val="000000"/>
          <w:szCs w:val="24"/>
          <w:lang w:val="en-GB" w:eastAsia="en-GB"/>
        </w:rPr>
      </w:pPr>
      <w:r>
        <w:rPr>
          <w:color w:val="000000"/>
          <w:szCs w:val="24"/>
          <w:lang w:eastAsia="en-GB"/>
        </w:rPr>
        <w:t>17.1</w:t>
      </w:r>
      <w:r>
        <w:rPr>
          <w:color w:val="000000"/>
          <w:szCs w:val="24"/>
          <w:lang w:eastAsia="en-GB"/>
        </w:rPr>
        <w:t>. kelių projektavimo paslaugos ir jų statybos darbai;</w:t>
      </w:r>
    </w:p>
    <w:p>
      <w:pPr>
        <w:ind w:firstLine="851"/>
        <w:jc w:val="both"/>
        <w:rPr>
          <w:color w:val="000000"/>
          <w:szCs w:val="24"/>
          <w:lang w:val="en-GB" w:eastAsia="en-GB"/>
        </w:rPr>
      </w:pPr>
      <w:r>
        <w:rPr>
          <w:color w:val="000000"/>
          <w:szCs w:val="24"/>
          <w:lang w:eastAsia="en-GB"/>
        </w:rPr>
        <w:t>17.2</w:t>
      </w:r>
      <w:r>
        <w:rPr>
          <w:color w:val="000000"/>
          <w:szCs w:val="24"/>
          <w:lang w:eastAsia="en-GB"/>
        </w:rPr>
        <w:t>. kelio ženklai, ženklinimas ir triukšmo užtvaros;</w:t>
      </w:r>
    </w:p>
    <w:p>
      <w:pPr>
        <w:ind w:firstLine="851"/>
        <w:jc w:val="both"/>
        <w:rPr>
          <w:color w:val="000000"/>
          <w:szCs w:val="24"/>
          <w:lang w:eastAsia="en-GB"/>
        </w:rPr>
      </w:pPr>
      <w:r>
        <w:rPr>
          <w:color w:val="000000"/>
          <w:szCs w:val="24"/>
          <w:lang w:eastAsia="en-GB"/>
        </w:rPr>
        <w:t>17.3</w:t>
      </w:r>
      <w:r>
        <w:rPr>
          <w:color w:val="000000"/>
          <w:szCs w:val="24"/>
          <w:lang w:eastAsia="en-GB"/>
        </w:rPr>
        <w:t>. gatvių apšvietimo įranga;</w:t>
      </w:r>
    </w:p>
    <w:p>
      <w:pPr>
        <w:ind w:firstLine="851"/>
        <w:jc w:val="both"/>
        <w:rPr>
          <w:color w:val="000000"/>
          <w:szCs w:val="24"/>
          <w:lang w:val="en-GB" w:eastAsia="en-GB"/>
        </w:rPr>
      </w:pPr>
      <w:r>
        <w:rPr>
          <w:color w:val="000000"/>
          <w:szCs w:val="24"/>
          <w:lang w:eastAsia="en-GB"/>
        </w:rPr>
        <w:t>17.4</w:t>
      </w:r>
      <w:r>
        <w:rPr>
          <w:color w:val="000000"/>
          <w:szCs w:val="24"/>
          <w:lang w:eastAsia="en-GB"/>
        </w:rPr>
        <w:t>. kelių eismo signalai.</w:t>
      </w:r>
    </w:p>
    <w:p>
      <w:pPr>
        <w:ind w:firstLine="851"/>
        <w:jc w:val="both"/>
        <w:rPr>
          <w:color w:val="000000"/>
          <w:szCs w:val="24"/>
          <w:lang w:eastAsia="en-GB"/>
        </w:rPr>
      </w:pPr>
      <w:r>
        <w:rPr>
          <w:color w:val="000000"/>
          <w:szCs w:val="24"/>
          <w:lang w:eastAsia="en-GB"/>
        </w:rPr>
        <w:t>18</w:t>
      </w:r>
      <w:r>
        <w:rPr>
          <w:color w:val="000000"/>
          <w:szCs w:val="24"/>
          <w:lang w:eastAsia="en-GB"/>
        </w:rPr>
        <w:t xml:space="preserve">. Elektra. </w:t>
      </w:r>
    </w:p>
    <w:p>
      <w:pPr>
        <w:suppressAutoHyphens/>
        <w:ind w:firstLine="851"/>
        <w:jc w:val="both"/>
      </w:pPr>
      <w:r>
        <w:rPr>
          <w:color w:val="000000"/>
          <w:szCs w:val="24"/>
          <w:lang w:eastAsia="en-GB"/>
        </w:rPr>
        <w:t>19</w:t>
      </w:r>
      <w:r>
        <w:rPr>
          <w:color w:val="000000"/>
          <w:szCs w:val="24"/>
          <w:lang w:eastAsia="en-GB"/>
        </w:rPr>
        <w:t>. Kuras ir degalai.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suppressAutoHyphens/>
        <w:ind w:firstLine="851"/>
        <w:jc w:val="both"/>
      </w:pPr>
      <w:r>
        <w:rPr>
          <w:szCs w:val="24"/>
        </w:rPr>
        <w:t>20</w:t>
      </w:r>
      <w:r>
        <w:rPr>
          <w:szCs w:val="24"/>
        </w:rPr>
        <w:t>. Padangos.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92cde9195f411efa605b9842742bf37">
        <w:r w:rsidRPr="00532B9F">
          <w:rPr>
            <w:rFonts w:ascii="Times New Roman" w:eastAsia="MS Mincho" w:hAnsi="Times New Roman"/>
            <w:sz w:val="20"/>
            <w:i/>
            <w:iCs/>
            <w:color w:val="0000FF" w:themeColor="hyperlink"/>
            <w:u w:val="single"/>
          </w:rPr>
          <w:t>D1-367</w:t>
        </w:r>
      </w:fldSimple>
      <w:r>
        <w:rPr>
          <w:rFonts w:ascii="Times New Roman" w:eastAsia="MS Mincho" w:hAnsi="Times New Roman"/>
          <w:sz w:val="20"/>
          <w:i/>
          <w:iCs/>
        </w:rPr>
        <w:t>,
2024-10-29,
paskelbta TAR 2024-10-29, i. k. 2024-18741        </w:t>
      </w:r>
    </w:p>
    <w:p/>
    <w:p>
      <w:pPr>
        <w:tabs>
          <w:tab w:val="left" w:pos="709"/>
          <w:tab w:val="left" w:pos="5103"/>
          <w:tab w:val="left" w:pos="5387"/>
        </w:tabs>
        <w:suppressAutoHyphens/>
        <w:ind w:left="5529"/>
        <w:sectPr>
          <w:pgSz w:w="11906" w:h="16838"/>
          <w:pgMar w:top="1701" w:right="567" w:bottom="1134" w:left="1701" w:header="567" w:footer="567" w:gutter="0"/>
          <w:pgNumType w:start="1"/>
          <w:cols w:space="1296"/>
          <w:titlePg/>
          <w:docGrid w:linePitch="360"/>
        </w:sectPr>
      </w:pPr>
    </w:p>
    <w:p>
      <w:pPr>
        <w:tabs>
          <w:tab w:val="left" w:pos="709"/>
          <w:tab w:val="left" w:pos="5103"/>
          <w:tab w:val="left" w:pos="5387"/>
        </w:tabs>
        <w:suppressAutoHyphens/>
        <w:ind w:left="5529"/>
      </w:pPr>
      <w:r>
        <w:t xml:space="preserve">Aplinkos apsaugos kriterijų taikymo, </w:t>
      </w:r>
    </w:p>
    <w:p>
      <w:pPr>
        <w:tabs>
          <w:tab w:val="left" w:pos="709"/>
          <w:tab w:val="left" w:pos="5103"/>
          <w:tab w:val="left" w:pos="5387"/>
        </w:tabs>
        <w:suppressAutoHyphens/>
        <w:ind w:left="5529"/>
      </w:pPr>
      <w:r>
        <w:t xml:space="preserve">vykdant žaliuosius pirkimus, tvarkos </w:t>
      </w:r>
    </w:p>
    <w:p>
      <w:pPr>
        <w:tabs>
          <w:tab w:val="left" w:pos="709"/>
          <w:tab w:val="left" w:pos="5103"/>
          <w:tab w:val="left" w:pos="5387"/>
        </w:tabs>
        <w:suppressAutoHyphens/>
        <w:ind w:left="5529"/>
      </w:pPr>
      <w:r>
        <w:t xml:space="preserve">aprašo </w:t>
      </w:r>
    </w:p>
    <w:p>
      <w:pPr>
        <w:tabs>
          <w:tab w:val="left" w:pos="709"/>
          <w:tab w:val="left" w:pos="5103"/>
          <w:tab w:val="left" w:pos="5387"/>
        </w:tabs>
        <w:suppressAutoHyphens/>
        <w:ind w:left="5529"/>
      </w:pPr>
      <w:r>
        <w:t>2</w:t>
      </w:r>
      <w:r>
        <w:t xml:space="preserve"> priedas </w:t>
      </w:r>
    </w:p>
    <w:p>
      <w:pPr>
        <w:keepNext/>
        <w:keepLines/>
        <w:suppressAutoHyphens/>
        <w:jc w:val="center"/>
        <w:rPr>
          <w:b/>
          <w:bCs/>
          <w:sz w:val="26"/>
          <w:szCs w:val="26"/>
          <w:lang w:eastAsia="lt-LT"/>
        </w:rPr>
      </w:pPr>
    </w:p>
    <w:p>
      <w:pPr>
        <w:keepNext/>
        <w:keepLines/>
        <w:suppressAutoHyphens/>
        <w:jc w:val="center"/>
        <w:rPr>
          <w:b/>
          <w:bCs/>
          <w:sz w:val="26"/>
          <w:szCs w:val="26"/>
          <w:lang w:eastAsia="lt-LT"/>
        </w:rPr>
      </w:pPr>
    </w:p>
    <w:p>
      <w:pPr>
        <w:keepNext/>
        <w:keepLines/>
        <w:suppressAutoHyphens/>
        <w:jc w:val="center"/>
        <w:rPr>
          <w:b/>
          <w:bCs/>
          <w:lang w:eastAsia="lt-LT"/>
        </w:rPr>
      </w:pPr>
      <w:r>
        <w:rPr>
          <w:b/>
          <w:bCs/>
          <w:lang w:eastAsia="lt-LT"/>
        </w:rPr>
        <w:t>MINIMALŪS APLINKOS APSAUGOS KRITERIJAI</w:t>
      </w:r>
    </w:p>
    <w:p>
      <w:pPr>
        <w:keepNext/>
        <w:keepLines/>
        <w:suppressAutoHyphens/>
        <w:jc w:val="center"/>
        <w:rPr>
          <w:b/>
          <w:bCs/>
          <w:szCs w:val="24"/>
          <w:lang w:eastAsia="lt-LT"/>
        </w:rPr>
      </w:pPr>
    </w:p>
    <w:p>
      <w:pPr>
        <w:rPr>
          <w:lang w:eastAsia="lt-LT"/>
        </w:rPr>
      </w:pPr>
    </w:p>
    <w:p>
      <w:pPr>
        <w:jc w:val="center"/>
        <w:textAlignment w:val="baseline"/>
        <w:rPr>
          <w:rFonts w:ascii="Segoe UI" w:hAnsi="Segoe UI" w:cs="Segoe UI"/>
          <w:sz w:val="18"/>
          <w:szCs w:val="18"/>
          <w:lang w:eastAsia="lt-LT"/>
        </w:rPr>
      </w:pPr>
      <w:r>
        <w:rPr>
          <w:rFonts w:eastAsia="Cumberland"/>
          <w:b/>
          <w:bCs/>
          <w:color w:val="000000"/>
          <w:szCs w:val="24"/>
          <w:lang w:eastAsia="lt-LT"/>
        </w:rPr>
        <w:t>I</w:t>
      </w:r>
      <w:r>
        <w:rPr>
          <w:rFonts w:eastAsia="Cumberland"/>
          <w:b/>
          <w:bCs/>
          <w:color w:val="000000"/>
          <w:szCs w:val="24"/>
          <w:lang w:eastAsia="lt-LT"/>
        </w:rPr>
        <w:t xml:space="preserve"> SKYRIUS</w:t>
      </w:r>
      <w:r>
        <w:rPr>
          <w:color w:val="000000"/>
          <w:szCs w:val="24"/>
          <w:lang w:eastAsia="lt-LT"/>
        </w:rPr>
        <w:t> </w:t>
      </w:r>
    </w:p>
    <w:p>
      <w:pPr>
        <w:ind w:firstLine="62"/>
        <w:jc w:val="center"/>
        <w:textAlignment w:val="baseline"/>
        <w:rPr>
          <w:color w:val="000000"/>
          <w:szCs w:val="24"/>
          <w:lang w:eastAsia="lt-LT"/>
        </w:rPr>
      </w:pPr>
      <w:r>
        <w:rPr>
          <w:rFonts w:eastAsia="Cumberland"/>
          <w:b/>
          <w:bCs/>
          <w:color w:val="000000"/>
          <w:szCs w:val="24"/>
          <w:lang w:eastAsia="lt-LT"/>
        </w:rPr>
        <w:t>POPIERIUS IR JO GAMINIAI</w:t>
      </w:r>
    </w:p>
    <w:p>
      <w:pPr>
        <w:rPr>
          <w:lang w:eastAsia="lt-LT"/>
        </w:rPr>
      </w:pPr>
    </w:p>
    <w:p>
      <w:pPr>
        <w:ind w:firstLine="840"/>
        <w:jc w:val="both"/>
        <w:textAlignment w:val="baseline"/>
        <w:rPr>
          <w:rFonts w:ascii="Segoe UI" w:hAnsi="Segoe UI" w:cs="Segoe UI"/>
          <w:sz w:val="18"/>
          <w:szCs w:val="18"/>
          <w:lang w:eastAsia="lt-LT"/>
        </w:rPr>
      </w:pPr>
      <w:r>
        <w:rPr>
          <w:color w:val="000000"/>
          <w:lang w:eastAsia="en-GB"/>
        </w:rPr>
        <w:t>1</w:t>
      </w:r>
      <w:r>
        <w:rPr>
          <w:color w:val="000000"/>
          <w:lang w:eastAsia="en-GB"/>
        </w:rPr>
        <w:t>. Rašymo, spausdinimo ir kopijavimo popierius: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Pr>
        <w:ind w:firstLine="840"/>
        <w:jc w:val="both"/>
        <w:textAlignment w:val="baseline"/>
        <w:rPr>
          <w:rFonts w:eastAsia="Cumberland"/>
          <w:color w:val="000000"/>
          <w:szCs w:val="24"/>
          <w:lang w:eastAsia="lt-LT"/>
        </w:rPr>
      </w:pPr>
      <w:r>
        <w:rPr>
          <w:rFonts w:eastAsia="Cumberland"/>
          <w:color w:val="000000"/>
          <w:szCs w:val="24"/>
          <w:lang w:eastAsia="lt-LT"/>
        </w:rPr>
        <w:t>1.1</w:t>
      </w:r>
      <w:r>
        <w:rPr>
          <w:rFonts w:eastAsia="Cumberland"/>
          <w:color w:val="000000"/>
          <w:szCs w:val="24"/>
          <w:lang w:eastAsia="lt-LT"/>
        </w:rPr>
        <w:t xml:space="preserve">. gaminys turi būti pagamintas iš 100 proc. perdirbto popieriaus (naudoto popieriaus ir (ar) gamybos atliekų) plaušų arba </w:t>
      </w:r>
      <w:r>
        <w:rPr>
          <w:szCs w:val="24"/>
          <w:lang w:eastAsia="lt-LT"/>
        </w:rPr>
        <w:t xml:space="preserve">ne mažiau kaip 30 proc. pirminės medienos plaušų, gautų iš miškų, sertifikuotų naudojant </w:t>
      </w:r>
      <w:r>
        <w:rPr>
          <w:i/>
          <w:iCs/>
          <w:color w:val="000000"/>
          <w:szCs w:val="24"/>
          <w:lang w:eastAsia="lt-LT"/>
        </w:rPr>
        <w:t>Forest Stewardship Council</w:t>
      </w:r>
      <w:r>
        <w:rPr>
          <w:color w:val="000000"/>
          <w:szCs w:val="24"/>
          <w:lang w:eastAsia="lt-LT"/>
        </w:rPr>
        <w:t xml:space="preserve"> (toliau – FSC)</w:t>
      </w:r>
      <w:r>
        <w:rPr>
          <w:szCs w:val="24"/>
          <w:lang w:eastAsia="lt-LT"/>
        </w:rPr>
        <w:t xml:space="preserve"> ar </w:t>
      </w:r>
      <w:r>
        <w:rPr>
          <w:color w:val="000000"/>
          <w:szCs w:val="24"/>
          <w:lang w:eastAsia="lt-LT"/>
        </w:rPr>
        <w:t xml:space="preserve">Miškų sertifikavimo sistemų pripažinimo programą (angl. </w:t>
      </w:r>
      <w:r>
        <w:rPr>
          <w:i/>
          <w:iCs/>
          <w:color w:val="000000"/>
          <w:szCs w:val="24"/>
          <w:lang w:eastAsia="lt-LT"/>
        </w:rPr>
        <w:t>Programme for the Endorsement of Forest Certification schemes</w:t>
      </w:r>
      <w:r>
        <w:rPr>
          <w:color w:val="000000"/>
          <w:szCs w:val="24"/>
          <w:lang w:eastAsia="lt-LT"/>
        </w:rPr>
        <w:t xml:space="preserve"> (toliau – PEFC)</w:t>
      </w:r>
      <w:r>
        <w:rPr>
          <w:szCs w:val="24"/>
          <w:lang w:eastAsia="lt-LT"/>
        </w:rPr>
        <w:t xml:space="preserve"> arba lygiavertes miškų sertifikavimo sistemas, kita dalis – iš perdirbto popieriaus plaušų</w:t>
      </w:r>
      <w:r>
        <w:rPr>
          <w:rFonts w:eastAsia="Cumberland"/>
          <w:color w:val="000000"/>
          <w:szCs w:val="24"/>
          <w:lang w:eastAsia="lt-LT"/>
        </w:rPr>
        <w:t>;</w:t>
      </w:r>
    </w:p>
    <w:p>
      <w:pPr>
        <w:ind w:firstLine="840"/>
        <w:jc w:val="both"/>
        <w:textAlignment w:val="baseline"/>
      </w:pPr>
      <w:r>
        <w:rPr>
          <w:color w:val="000000"/>
          <w:szCs w:val="24"/>
          <w:shd w:val="clear" w:color="auto" w:fill="FFFFFF"/>
          <w:lang w:eastAsia="lt-LT"/>
        </w:rPr>
        <w:t>1.2</w:t>
      </w:r>
      <w:r>
        <w:rPr>
          <w:color w:val="000000"/>
          <w:szCs w:val="24"/>
          <w:shd w:val="clear" w:color="auto" w:fill="FFFFFF"/>
          <w:lang w:eastAsia="lt-LT"/>
        </w:rPr>
        <w:t>. gaminys turi būti nebalintas arba balintas nenaudojant chloro dujų.</w:t>
      </w:r>
    </w:p>
    <w:p>
      <w:pPr>
        <w:suppressAutoHyphens/>
        <w:ind w:firstLine="851"/>
        <w:jc w:val="both"/>
        <w:rPr>
          <w:szCs w:val="24"/>
          <w:lang w:eastAsia="lt-LT"/>
        </w:rPr>
      </w:pPr>
      <w:r>
        <w:rPr>
          <w:color w:val="000000"/>
          <w:lang w:eastAsia="en-GB"/>
        </w:rPr>
        <w:t>1</w:t>
      </w:r>
      <w:r>
        <w:rPr>
          <w:color w:val="000000"/>
          <w:vertAlign w:val="superscript"/>
          <w:lang w:eastAsia="en-GB"/>
        </w:rPr>
        <w:t>1</w:t>
      </w:r>
      <w:r>
        <w:rPr>
          <w:color w:val="000000"/>
          <w:lang w:eastAsia="en-GB"/>
        </w:rPr>
        <w:t>. Plonasis (higieninis) popierius: turi būti pagamintas iš 100 proc. perdirbto popieriaus (naudoto popieriaus ir (ar) gamybos atliekų) plaušų ir turi būti nebalintas arba balintas nenaudojant chloro dujų.</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suppressAutoHyphens/>
        <w:jc w:val="center"/>
        <w:rPr>
          <w:b/>
          <w:bCs/>
          <w:lang w:eastAsia="lt-LT"/>
        </w:rPr>
      </w:pPr>
      <w:r>
        <w:rPr>
          <w:b/>
          <w:bCs/>
          <w:lang w:eastAsia="lt-LT"/>
        </w:rPr>
        <w:t>II</w:t>
      </w:r>
      <w:r>
        <w:rPr>
          <w:b/>
          <w:bCs/>
          <w:lang w:eastAsia="lt-LT"/>
        </w:rPr>
        <w:t xml:space="preserve"> SKYRIUS</w:t>
      </w:r>
    </w:p>
    <w:p>
      <w:pPr>
        <w:suppressAutoHyphens/>
        <w:jc w:val="center"/>
        <w:rPr>
          <w:b/>
          <w:bCs/>
          <w:lang w:eastAsia="lt-LT"/>
        </w:rPr>
      </w:pPr>
      <w:r>
        <w:rPr>
          <w:b/>
          <w:bCs/>
          <w:lang w:eastAsia="lt-LT"/>
        </w:rPr>
        <w:t>PAKUOTĖS</w:t>
      </w:r>
    </w:p>
    <w:p>
      <w:pPr>
        <w:suppressAutoHyphens/>
        <w:jc w:val="center"/>
        <w:rPr>
          <w:b/>
          <w:bCs/>
          <w:lang w:eastAsia="lt-LT"/>
        </w:rPr>
      </w:pPr>
    </w:p>
    <w:p>
      <w:pPr>
        <w:suppressAutoHyphens/>
        <w:ind w:firstLine="851"/>
        <w:jc w:val="both"/>
        <w:rPr>
          <w:b/>
          <w:bCs/>
          <w:color w:val="000000"/>
          <w:szCs w:val="24"/>
          <w:lang w:eastAsia="en-GB"/>
        </w:rPr>
      </w:pPr>
      <w:r>
        <w:rPr>
          <w:color w:val="000000"/>
          <w:szCs w:val="24"/>
          <w:lang w:eastAsia="en-GB"/>
        </w:rPr>
        <w:t>2</w:t>
      </w:r>
      <w:r>
        <w:rPr>
          <w:color w:val="000000"/>
          <w:szCs w:val="24"/>
          <w:lang w:eastAsia="en-GB"/>
        </w:rPr>
        <w:t>. Pakuotės: turi būti laikytinos perdirbamosiomis pakuotėmis pagal Lietuvos Respublikos mokesčio už aplinkos teršimą įstatymo nuostatas ir (ar) turi būti vienalytės (homogeniškos) pakuotės, pagamintos iš vienos rūšies medžiagos: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5448"/>
        <w:gridCol w:w="3679"/>
      </w:tblGrid>
      <w:tr>
        <w:tc>
          <w:tcPr>
            <w:tcW w:w="301" w:type="pct"/>
          </w:tcPr>
          <w:p>
            <w:pPr>
              <w:suppressAutoHyphens/>
              <w:jc w:val="both"/>
              <w:rPr>
                <w:color w:val="000000"/>
                <w:kern w:val="2"/>
                <w:sz w:val="22"/>
                <w:szCs w:val="18"/>
                <w:lang w:eastAsia="en-GB"/>
              </w:rPr>
            </w:pPr>
            <w:r>
              <w:rPr>
                <w:color w:val="000000"/>
                <w:kern w:val="2"/>
                <w:sz w:val="22"/>
                <w:szCs w:val="18"/>
                <w:lang w:eastAsia="en-GB"/>
              </w:rPr>
              <w:t>Eil. Nr.</w:t>
            </w:r>
          </w:p>
        </w:tc>
        <w:tc>
          <w:tcPr>
            <w:tcW w:w="2805" w:type="pct"/>
          </w:tcPr>
          <w:p>
            <w:pPr>
              <w:suppressAutoHyphens/>
              <w:jc w:val="both"/>
              <w:rPr>
                <w:color w:val="000000"/>
                <w:kern w:val="2"/>
                <w:sz w:val="22"/>
                <w:szCs w:val="18"/>
                <w:lang w:eastAsia="en-GB"/>
              </w:rPr>
            </w:pPr>
            <w:r>
              <w:rPr>
                <w:color w:val="000000"/>
                <w:kern w:val="2"/>
                <w:sz w:val="22"/>
                <w:szCs w:val="18"/>
                <w:lang w:eastAsia="en-GB"/>
              </w:rPr>
              <w:t>Pakuotės medžiaga</w:t>
            </w:r>
          </w:p>
        </w:tc>
        <w:tc>
          <w:tcPr>
            <w:tcW w:w="1895" w:type="pct"/>
          </w:tcPr>
          <w:p>
            <w:pPr>
              <w:suppressAutoHyphens/>
              <w:jc w:val="both"/>
              <w:rPr>
                <w:color w:val="000000"/>
                <w:kern w:val="2"/>
                <w:sz w:val="22"/>
                <w:szCs w:val="18"/>
                <w:lang w:eastAsia="en-GB"/>
              </w:rPr>
            </w:pPr>
            <w:r>
              <w:rPr>
                <w:color w:val="000000"/>
                <w:kern w:val="2"/>
                <w:sz w:val="22"/>
                <w:szCs w:val="18"/>
                <w:lang w:eastAsia="en-GB"/>
              </w:rPr>
              <w:t>Ženklinimas</w:t>
            </w:r>
          </w:p>
        </w:tc>
      </w:tr>
      <w:tr>
        <w:tc>
          <w:tcPr>
            <w:tcW w:w="301" w:type="pct"/>
          </w:tcPr>
          <w:p>
            <w:pPr>
              <w:suppressAutoHyphens/>
              <w:jc w:val="both"/>
              <w:rPr>
                <w:color w:val="000000"/>
                <w:kern w:val="2"/>
                <w:sz w:val="22"/>
                <w:szCs w:val="18"/>
                <w:lang w:eastAsia="en-GB"/>
              </w:rPr>
            </w:pPr>
            <w:r>
              <w:rPr>
                <w:color w:val="000000"/>
                <w:kern w:val="2"/>
                <w:sz w:val="22"/>
                <w:szCs w:val="18"/>
                <w:lang w:eastAsia="en-GB"/>
              </w:rPr>
              <w:t>1.</w:t>
            </w:r>
          </w:p>
        </w:tc>
        <w:tc>
          <w:tcPr>
            <w:tcW w:w="2805" w:type="pct"/>
          </w:tcPr>
          <w:p>
            <w:pPr>
              <w:suppressAutoHyphens/>
              <w:jc w:val="both"/>
              <w:rPr>
                <w:color w:val="000000"/>
                <w:kern w:val="2"/>
                <w:sz w:val="22"/>
                <w:szCs w:val="18"/>
                <w:lang w:eastAsia="en-GB"/>
              </w:rPr>
            </w:pPr>
            <w:r>
              <w:rPr>
                <w:color w:val="000000"/>
                <w:kern w:val="2"/>
                <w:sz w:val="22"/>
                <w:szCs w:val="18"/>
                <w:lang w:eastAsia="en-GB"/>
              </w:rPr>
              <w:t>Stiklas</w:t>
            </w:r>
          </w:p>
        </w:tc>
        <w:tc>
          <w:tcPr>
            <w:tcW w:w="1895" w:type="pct"/>
          </w:tcPr>
          <w:p>
            <w:pPr>
              <w:suppressAutoHyphens/>
              <w:jc w:val="both"/>
              <w:rPr>
                <w:color w:val="000000"/>
                <w:kern w:val="2"/>
                <w:sz w:val="22"/>
                <w:szCs w:val="18"/>
                <w:lang w:eastAsia="en-GB"/>
              </w:rPr>
            </w:pPr>
            <w:r>
              <w:rPr>
                <w:color w:val="000000"/>
                <w:kern w:val="2"/>
                <w:sz w:val="22"/>
                <w:szCs w:val="18"/>
                <w:lang w:eastAsia="en-GB"/>
              </w:rPr>
              <w:t>GL (arba GL nuo 70 iki 79)</w:t>
            </w:r>
          </w:p>
        </w:tc>
      </w:tr>
      <w:tr>
        <w:tc>
          <w:tcPr>
            <w:tcW w:w="301" w:type="pct"/>
          </w:tcPr>
          <w:p>
            <w:pPr>
              <w:suppressAutoHyphens/>
              <w:jc w:val="both"/>
              <w:rPr>
                <w:color w:val="000000"/>
                <w:kern w:val="2"/>
                <w:sz w:val="22"/>
                <w:szCs w:val="18"/>
                <w:lang w:eastAsia="en-GB"/>
              </w:rPr>
            </w:pPr>
            <w:r>
              <w:rPr>
                <w:color w:val="000000"/>
                <w:kern w:val="2"/>
                <w:sz w:val="22"/>
                <w:szCs w:val="18"/>
                <w:lang w:eastAsia="en-GB"/>
              </w:rPr>
              <w:t>2.</w:t>
            </w:r>
          </w:p>
        </w:tc>
        <w:tc>
          <w:tcPr>
            <w:tcW w:w="2805" w:type="pct"/>
          </w:tcPr>
          <w:p>
            <w:pPr>
              <w:suppressAutoHyphens/>
              <w:jc w:val="both"/>
              <w:rPr>
                <w:color w:val="000000"/>
                <w:kern w:val="2"/>
                <w:sz w:val="22"/>
                <w:szCs w:val="18"/>
                <w:lang w:eastAsia="en-GB"/>
              </w:rPr>
            </w:pPr>
            <w:r>
              <w:rPr>
                <w:color w:val="000000"/>
                <w:kern w:val="2"/>
                <w:sz w:val="22"/>
                <w:szCs w:val="18"/>
                <w:lang w:eastAsia="en-GB"/>
              </w:rPr>
              <w:t>Metalas</w:t>
            </w:r>
          </w:p>
        </w:tc>
        <w:tc>
          <w:tcPr>
            <w:tcW w:w="1895" w:type="pct"/>
          </w:tcPr>
          <w:p>
            <w:pPr>
              <w:suppressAutoHyphens/>
              <w:jc w:val="both"/>
              <w:rPr>
                <w:color w:val="000000"/>
                <w:kern w:val="2"/>
                <w:sz w:val="22"/>
                <w:szCs w:val="18"/>
                <w:lang w:eastAsia="en-GB"/>
              </w:rPr>
            </w:pPr>
            <w:r>
              <w:rPr>
                <w:color w:val="000000"/>
                <w:kern w:val="2"/>
                <w:sz w:val="22"/>
                <w:szCs w:val="18"/>
                <w:lang w:eastAsia="en-GB"/>
              </w:rPr>
              <w:t>FE (arba FE 40),</w:t>
            </w:r>
          </w:p>
          <w:p>
            <w:pPr>
              <w:suppressAutoHyphens/>
              <w:jc w:val="both"/>
              <w:rPr>
                <w:color w:val="000000"/>
                <w:kern w:val="2"/>
                <w:sz w:val="22"/>
                <w:szCs w:val="18"/>
                <w:lang w:eastAsia="en-GB"/>
              </w:rPr>
            </w:pPr>
            <w:r>
              <w:rPr>
                <w:color w:val="000000"/>
                <w:kern w:val="2"/>
                <w:sz w:val="22"/>
                <w:szCs w:val="18"/>
                <w:lang w:eastAsia="en-GB"/>
              </w:rPr>
              <w:t>ALU (arba ALU 41)</w:t>
            </w:r>
          </w:p>
          <w:p>
            <w:pPr>
              <w:suppressAutoHyphens/>
              <w:jc w:val="both"/>
              <w:rPr>
                <w:color w:val="000000"/>
                <w:kern w:val="2"/>
                <w:sz w:val="22"/>
                <w:szCs w:val="18"/>
                <w:lang w:eastAsia="en-GB"/>
              </w:rPr>
            </w:pPr>
            <w:r>
              <w:rPr>
                <w:color w:val="000000"/>
                <w:kern w:val="2"/>
                <w:sz w:val="22"/>
                <w:szCs w:val="18"/>
                <w:lang w:eastAsia="en-GB"/>
              </w:rPr>
              <w:t>Nuo 42 iki 49</w:t>
            </w:r>
          </w:p>
        </w:tc>
      </w:tr>
      <w:tr>
        <w:tc>
          <w:tcPr>
            <w:tcW w:w="301" w:type="pct"/>
          </w:tcPr>
          <w:p>
            <w:pPr>
              <w:suppressAutoHyphens/>
              <w:jc w:val="both"/>
              <w:rPr>
                <w:color w:val="000000"/>
                <w:kern w:val="2"/>
                <w:sz w:val="22"/>
                <w:szCs w:val="18"/>
                <w:lang w:eastAsia="en-GB"/>
              </w:rPr>
            </w:pPr>
            <w:r>
              <w:rPr>
                <w:color w:val="000000"/>
                <w:kern w:val="2"/>
                <w:sz w:val="22"/>
                <w:szCs w:val="18"/>
                <w:lang w:eastAsia="en-GB"/>
              </w:rPr>
              <w:t>3.</w:t>
            </w:r>
          </w:p>
        </w:tc>
        <w:tc>
          <w:tcPr>
            <w:tcW w:w="2805" w:type="pct"/>
          </w:tcPr>
          <w:p>
            <w:pPr>
              <w:suppressAutoHyphens/>
              <w:jc w:val="both"/>
              <w:rPr>
                <w:color w:val="000000"/>
                <w:kern w:val="2"/>
                <w:sz w:val="22"/>
                <w:szCs w:val="22"/>
                <w:lang w:eastAsia="en-GB"/>
              </w:rPr>
            </w:pPr>
            <w:r>
              <w:rPr>
                <w:color w:val="000000"/>
                <w:kern w:val="2"/>
                <w:sz w:val="22"/>
                <w:szCs w:val="22"/>
                <w:lang w:eastAsia="en-GB"/>
              </w:rPr>
              <w:t>Popierius ar kartonas</w:t>
            </w:r>
          </w:p>
        </w:tc>
        <w:tc>
          <w:tcPr>
            <w:tcW w:w="1895" w:type="pct"/>
          </w:tcPr>
          <w:p>
            <w:pPr>
              <w:suppressAutoHyphens/>
              <w:jc w:val="both"/>
              <w:rPr>
                <w:color w:val="000000"/>
                <w:kern w:val="2"/>
                <w:sz w:val="22"/>
                <w:szCs w:val="18"/>
                <w:lang w:eastAsia="en-GB"/>
              </w:rPr>
            </w:pPr>
            <w:r>
              <w:rPr>
                <w:color w:val="000000"/>
                <w:kern w:val="2"/>
                <w:sz w:val="22"/>
                <w:szCs w:val="18"/>
                <w:lang w:eastAsia="en-GB"/>
              </w:rPr>
              <w:t>PAP (arba PAP nuo 20 iki 39)</w:t>
            </w:r>
          </w:p>
        </w:tc>
      </w:tr>
      <w:tr>
        <w:tc>
          <w:tcPr>
            <w:tcW w:w="301" w:type="pct"/>
          </w:tcPr>
          <w:p>
            <w:pPr>
              <w:suppressAutoHyphens/>
              <w:jc w:val="both"/>
              <w:rPr>
                <w:color w:val="000000"/>
                <w:kern w:val="2"/>
                <w:sz w:val="22"/>
                <w:szCs w:val="18"/>
                <w:lang w:eastAsia="en-GB"/>
              </w:rPr>
            </w:pPr>
            <w:r>
              <w:rPr>
                <w:color w:val="000000"/>
                <w:kern w:val="2"/>
                <w:sz w:val="22"/>
                <w:szCs w:val="18"/>
                <w:lang w:eastAsia="en-GB"/>
              </w:rPr>
              <w:t>4.</w:t>
            </w:r>
          </w:p>
        </w:tc>
        <w:tc>
          <w:tcPr>
            <w:tcW w:w="2805" w:type="pct"/>
          </w:tcPr>
          <w:p>
            <w:pPr>
              <w:suppressAutoHyphens/>
              <w:jc w:val="both"/>
              <w:rPr>
                <w:color w:val="000000"/>
                <w:kern w:val="2"/>
                <w:sz w:val="22"/>
                <w:szCs w:val="18"/>
                <w:lang w:eastAsia="en-GB"/>
              </w:rPr>
            </w:pPr>
            <w:r>
              <w:rPr>
                <w:color w:val="000000"/>
                <w:kern w:val="2"/>
                <w:sz w:val="22"/>
                <w:szCs w:val="18"/>
                <w:lang w:eastAsia="en-GB"/>
              </w:rPr>
              <w:t>Medis ar kamštinė medžiaga</w:t>
            </w:r>
          </w:p>
        </w:tc>
        <w:tc>
          <w:tcPr>
            <w:tcW w:w="1895" w:type="pct"/>
          </w:tcPr>
          <w:p>
            <w:pPr>
              <w:tabs>
                <w:tab w:val="left" w:pos="1808"/>
              </w:tabs>
              <w:suppressAutoHyphens/>
              <w:jc w:val="both"/>
              <w:rPr>
                <w:color w:val="000000"/>
                <w:kern w:val="2"/>
                <w:sz w:val="22"/>
                <w:szCs w:val="18"/>
                <w:lang w:eastAsia="en-GB"/>
              </w:rPr>
            </w:pPr>
            <w:r>
              <w:rPr>
                <w:color w:val="000000"/>
                <w:kern w:val="2"/>
                <w:sz w:val="22"/>
                <w:szCs w:val="18"/>
                <w:lang w:eastAsia="en-GB"/>
              </w:rPr>
              <w:t>FOR (arba FOR nuo 50 iki 59)</w:t>
            </w:r>
          </w:p>
        </w:tc>
      </w:tr>
      <w:tr>
        <w:tc>
          <w:tcPr>
            <w:tcW w:w="301" w:type="pct"/>
          </w:tcPr>
          <w:p>
            <w:pPr>
              <w:suppressAutoHyphens/>
              <w:jc w:val="both"/>
              <w:rPr>
                <w:color w:val="000000"/>
                <w:kern w:val="2"/>
                <w:sz w:val="22"/>
                <w:szCs w:val="18"/>
                <w:lang w:eastAsia="en-GB"/>
              </w:rPr>
            </w:pPr>
            <w:r>
              <w:rPr>
                <w:color w:val="000000"/>
                <w:kern w:val="2"/>
                <w:sz w:val="22"/>
                <w:szCs w:val="18"/>
                <w:lang w:eastAsia="en-GB"/>
              </w:rPr>
              <w:t>5.</w:t>
            </w:r>
          </w:p>
        </w:tc>
        <w:tc>
          <w:tcPr>
            <w:tcW w:w="2805" w:type="pct"/>
          </w:tcPr>
          <w:p>
            <w:pPr>
              <w:suppressAutoHyphens/>
              <w:jc w:val="both"/>
              <w:rPr>
                <w:color w:val="000000"/>
                <w:kern w:val="2"/>
                <w:sz w:val="22"/>
                <w:szCs w:val="18"/>
                <w:lang w:eastAsia="en-GB"/>
              </w:rPr>
            </w:pPr>
            <w:r>
              <w:rPr>
                <w:color w:val="000000"/>
                <w:kern w:val="2"/>
                <w:sz w:val="22"/>
                <w:szCs w:val="18"/>
                <w:lang w:eastAsia="en-GB"/>
              </w:rPr>
              <w:t>Medvilnė ar džiutas</w:t>
            </w:r>
          </w:p>
        </w:tc>
        <w:tc>
          <w:tcPr>
            <w:tcW w:w="1895" w:type="pct"/>
          </w:tcPr>
          <w:p>
            <w:pPr>
              <w:suppressAutoHyphens/>
              <w:jc w:val="both"/>
              <w:rPr>
                <w:color w:val="000000"/>
                <w:kern w:val="2"/>
                <w:sz w:val="22"/>
                <w:szCs w:val="18"/>
                <w:lang w:eastAsia="en-GB"/>
              </w:rPr>
            </w:pPr>
            <w:r>
              <w:rPr>
                <w:color w:val="000000"/>
                <w:kern w:val="2"/>
                <w:sz w:val="22"/>
                <w:szCs w:val="18"/>
                <w:lang w:eastAsia="en-GB"/>
              </w:rPr>
              <w:t>TEX (arba TEX nuo 60 iki 69)</w:t>
            </w:r>
          </w:p>
        </w:tc>
      </w:tr>
      <w:tr>
        <w:tc>
          <w:tcPr>
            <w:tcW w:w="301" w:type="pct"/>
          </w:tcPr>
          <w:p>
            <w:pPr>
              <w:suppressAutoHyphens/>
              <w:jc w:val="both"/>
              <w:rPr>
                <w:color w:val="000000"/>
                <w:kern w:val="2"/>
                <w:sz w:val="22"/>
                <w:szCs w:val="18"/>
                <w:lang w:eastAsia="en-GB"/>
              </w:rPr>
            </w:pPr>
            <w:r>
              <w:rPr>
                <w:color w:val="000000"/>
                <w:kern w:val="2"/>
                <w:sz w:val="22"/>
                <w:szCs w:val="18"/>
                <w:lang w:eastAsia="en-GB"/>
              </w:rPr>
              <w:t>6.</w:t>
            </w:r>
          </w:p>
        </w:tc>
        <w:tc>
          <w:tcPr>
            <w:tcW w:w="2805" w:type="pct"/>
          </w:tcPr>
          <w:p>
            <w:pPr>
              <w:suppressAutoHyphens/>
              <w:jc w:val="both"/>
              <w:rPr>
                <w:color w:val="000000"/>
                <w:kern w:val="2"/>
                <w:sz w:val="22"/>
                <w:szCs w:val="18"/>
                <w:lang w:eastAsia="en-GB"/>
              </w:rPr>
            </w:pPr>
            <w:r>
              <w:rPr>
                <w:color w:val="000000"/>
                <w:kern w:val="2"/>
                <w:sz w:val="22"/>
                <w:szCs w:val="18"/>
                <w:lang w:eastAsia="en-GB"/>
              </w:rPr>
              <w:t>Polietilentereftalatas</w:t>
            </w:r>
          </w:p>
        </w:tc>
        <w:tc>
          <w:tcPr>
            <w:tcW w:w="1895" w:type="pct"/>
          </w:tcPr>
          <w:p>
            <w:pPr>
              <w:suppressAutoHyphens/>
              <w:jc w:val="both"/>
              <w:rPr>
                <w:color w:val="000000"/>
                <w:kern w:val="2"/>
                <w:sz w:val="22"/>
                <w:szCs w:val="18"/>
                <w:lang w:eastAsia="en-GB"/>
              </w:rPr>
            </w:pPr>
            <w:r>
              <w:rPr>
                <w:color w:val="000000"/>
                <w:kern w:val="2"/>
                <w:sz w:val="22"/>
                <w:szCs w:val="18"/>
                <w:lang w:eastAsia="en-GB"/>
              </w:rPr>
              <w:t>PET arba PET 1</w:t>
            </w:r>
          </w:p>
        </w:tc>
      </w:tr>
      <w:tr>
        <w:tc>
          <w:tcPr>
            <w:tcW w:w="301" w:type="pct"/>
          </w:tcPr>
          <w:p>
            <w:pPr>
              <w:suppressAutoHyphens/>
              <w:jc w:val="both"/>
              <w:rPr>
                <w:color w:val="000000"/>
                <w:kern w:val="2"/>
                <w:sz w:val="22"/>
                <w:szCs w:val="18"/>
                <w:lang w:eastAsia="en-GB"/>
              </w:rPr>
            </w:pPr>
            <w:r>
              <w:rPr>
                <w:color w:val="000000"/>
                <w:kern w:val="2"/>
                <w:sz w:val="22"/>
                <w:szCs w:val="18"/>
                <w:lang w:eastAsia="en-GB"/>
              </w:rPr>
              <w:t>7.</w:t>
            </w:r>
          </w:p>
        </w:tc>
        <w:tc>
          <w:tcPr>
            <w:tcW w:w="2805" w:type="pct"/>
          </w:tcPr>
          <w:p>
            <w:pPr>
              <w:suppressAutoHyphens/>
              <w:jc w:val="both"/>
              <w:rPr>
                <w:color w:val="000000"/>
                <w:kern w:val="2"/>
                <w:sz w:val="22"/>
                <w:szCs w:val="18"/>
                <w:lang w:eastAsia="en-GB"/>
              </w:rPr>
            </w:pPr>
            <w:r>
              <w:rPr>
                <w:color w:val="000000"/>
                <w:kern w:val="2"/>
                <w:sz w:val="22"/>
                <w:szCs w:val="18"/>
                <w:lang w:eastAsia="en-GB"/>
              </w:rPr>
              <w:t>Aukšto tankumo polietilenas</w:t>
            </w:r>
          </w:p>
        </w:tc>
        <w:tc>
          <w:tcPr>
            <w:tcW w:w="1895" w:type="pct"/>
          </w:tcPr>
          <w:p>
            <w:pPr>
              <w:tabs>
                <w:tab w:val="left" w:pos="872"/>
              </w:tabs>
              <w:suppressAutoHyphens/>
              <w:jc w:val="both"/>
              <w:rPr>
                <w:color w:val="000000"/>
                <w:kern w:val="2"/>
                <w:sz w:val="22"/>
                <w:szCs w:val="18"/>
                <w:lang w:eastAsia="en-GB"/>
              </w:rPr>
            </w:pPr>
            <w:r>
              <w:rPr>
                <w:color w:val="000000"/>
                <w:kern w:val="2"/>
                <w:sz w:val="22"/>
                <w:szCs w:val="18"/>
                <w:lang w:eastAsia="en-GB"/>
              </w:rPr>
              <w:t>HDPE (arba HDPE 2)</w:t>
            </w:r>
          </w:p>
        </w:tc>
      </w:tr>
      <w:tr>
        <w:tc>
          <w:tcPr>
            <w:tcW w:w="301" w:type="pct"/>
          </w:tcPr>
          <w:p>
            <w:pPr>
              <w:suppressAutoHyphens/>
              <w:jc w:val="both"/>
              <w:rPr>
                <w:color w:val="000000"/>
                <w:kern w:val="2"/>
                <w:sz w:val="22"/>
                <w:szCs w:val="18"/>
                <w:lang w:eastAsia="en-GB"/>
              </w:rPr>
            </w:pPr>
            <w:r>
              <w:rPr>
                <w:color w:val="000000"/>
                <w:kern w:val="2"/>
                <w:sz w:val="22"/>
                <w:szCs w:val="18"/>
                <w:lang w:eastAsia="en-GB"/>
              </w:rPr>
              <w:t>8.</w:t>
            </w:r>
          </w:p>
        </w:tc>
        <w:tc>
          <w:tcPr>
            <w:tcW w:w="2805" w:type="pct"/>
          </w:tcPr>
          <w:p>
            <w:pPr>
              <w:suppressAutoHyphens/>
              <w:jc w:val="both"/>
              <w:rPr>
                <w:color w:val="000000"/>
                <w:kern w:val="2"/>
                <w:sz w:val="22"/>
                <w:szCs w:val="18"/>
                <w:lang w:eastAsia="en-GB"/>
              </w:rPr>
            </w:pPr>
            <w:r>
              <w:rPr>
                <w:color w:val="000000"/>
                <w:kern w:val="2"/>
                <w:sz w:val="22"/>
                <w:szCs w:val="18"/>
                <w:lang w:eastAsia="en-GB"/>
              </w:rPr>
              <w:t>Polivinilchloridas</w:t>
            </w:r>
          </w:p>
        </w:tc>
        <w:tc>
          <w:tcPr>
            <w:tcW w:w="1895" w:type="pct"/>
          </w:tcPr>
          <w:p>
            <w:pPr>
              <w:suppressAutoHyphens/>
              <w:jc w:val="both"/>
              <w:rPr>
                <w:color w:val="000000"/>
                <w:kern w:val="2"/>
                <w:sz w:val="22"/>
                <w:szCs w:val="18"/>
                <w:lang w:eastAsia="en-GB"/>
              </w:rPr>
            </w:pPr>
            <w:r>
              <w:rPr>
                <w:color w:val="000000"/>
                <w:kern w:val="2"/>
                <w:sz w:val="22"/>
                <w:szCs w:val="18"/>
                <w:lang w:eastAsia="en-GB"/>
              </w:rPr>
              <w:t>PVC (arba PVC 3)</w:t>
            </w:r>
          </w:p>
        </w:tc>
      </w:tr>
      <w:tr>
        <w:tc>
          <w:tcPr>
            <w:tcW w:w="301" w:type="pct"/>
          </w:tcPr>
          <w:p>
            <w:pPr>
              <w:suppressAutoHyphens/>
              <w:jc w:val="both"/>
              <w:rPr>
                <w:color w:val="000000"/>
                <w:kern w:val="2"/>
                <w:sz w:val="22"/>
                <w:szCs w:val="18"/>
                <w:lang w:eastAsia="en-GB"/>
              </w:rPr>
            </w:pPr>
            <w:r>
              <w:rPr>
                <w:color w:val="000000"/>
                <w:kern w:val="2"/>
                <w:sz w:val="22"/>
                <w:szCs w:val="18"/>
                <w:lang w:eastAsia="en-GB"/>
              </w:rPr>
              <w:t>9.</w:t>
            </w:r>
          </w:p>
        </w:tc>
        <w:tc>
          <w:tcPr>
            <w:tcW w:w="2805" w:type="pct"/>
          </w:tcPr>
          <w:p>
            <w:pPr>
              <w:suppressAutoHyphens/>
              <w:jc w:val="both"/>
              <w:rPr>
                <w:color w:val="000000"/>
                <w:kern w:val="2"/>
                <w:sz w:val="22"/>
                <w:szCs w:val="18"/>
                <w:lang w:eastAsia="en-GB"/>
              </w:rPr>
            </w:pPr>
            <w:r>
              <w:rPr>
                <w:color w:val="000000"/>
                <w:kern w:val="2"/>
                <w:sz w:val="22"/>
                <w:szCs w:val="18"/>
                <w:lang w:eastAsia="en-GB"/>
              </w:rPr>
              <w:t>Žemo tankumo polietilenas</w:t>
            </w:r>
          </w:p>
        </w:tc>
        <w:tc>
          <w:tcPr>
            <w:tcW w:w="1895" w:type="pct"/>
          </w:tcPr>
          <w:p>
            <w:pPr>
              <w:suppressAutoHyphens/>
              <w:jc w:val="both"/>
              <w:rPr>
                <w:color w:val="000000"/>
                <w:kern w:val="2"/>
                <w:sz w:val="22"/>
                <w:szCs w:val="18"/>
                <w:lang w:eastAsia="en-GB"/>
              </w:rPr>
            </w:pPr>
            <w:r>
              <w:rPr>
                <w:color w:val="000000"/>
                <w:kern w:val="2"/>
                <w:sz w:val="22"/>
                <w:szCs w:val="18"/>
                <w:lang w:eastAsia="en-GB"/>
              </w:rPr>
              <w:t>LDPE (arba LDPE 4)</w:t>
            </w:r>
          </w:p>
        </w:tc>
      </w:tr>
      <w:tr>
        <w:tc>
          <w:tcPr>
            <w:tcW w:w="301" w:type="pct"/>
          </w:tcPr>
          <w:p>
            <w:pPr>
              <w:suppressAutoHyphens/>
              <w:jc w:val="both"/>
              <w:rPr>
                <w:color w:val="000000"/>
                <w:kern w:val="2"/>
                <w:sz w:val="22"/>
                <w:szCs w:val="18"/>
                <w:lang w:eastAsia="en-GB"/>
              </w:rPr>
            </w:pPr>
            <w:r>
              <w:rPr>
                <w:color w:val="000000"/>
                <w:kern w:val="2"/>
                <w:sz w:val="22"/>
                <w:szCs w:val="18"/>
                <w:lang w:eastAsia="en-GB"/>
              </w:rPr>
              <w:t>10.</w:t>
            </w:r>
          </w:p>
        </w:tc>
        <w:tc>
          <w:tcPr>
            <w:tcW w:w="2805" w:type="pct"/>
          </w:tcPr>
          <w:p>
            <w:pPr>
              <w:suppressAutoHyphens/>
              <w:jc w:val="both"/>
              <w:rPr>
                <w:color w:val="000000"/>
                <w:kern w:val="2"/>
                <w:sz w:val="22"/>
                <w:szCs w:val="18"/>
                <w:lang w:eastAsia="en-GB"/>
              </w:rPr>
            </w:pPr>
            <w:r>
              <w:rPr>
                <w:color w:val="000000"/>
                <w:kern w:val="2"/>
                <w:sz w:val="22"/>
                <w:szCs w:val="18"/>
                <w:lang w:eastAsia="en-GB"/>
              </w:rPr>
              <w:t>Polipropilenas</w:t>
            </w:r>
          </w:p>
        </w:tc>
        <w:tc>
          <w:tcPr>
            <w:tcW w:w="1895" w:type="pct"/>
          </w:tcPr>
          <w:p>
            <w:pPr>
              <w:suppressAutoHyphens/>
              <w:jc w:val="both"/>
              <w:rPr>
                <w:color w:val="000000"/>
                <w:kern w:val="2"/>
                <w:sz w:val="22"/>
                <w:szCs w:val="18"/>
                <w:lang w:eastAsia="en-GB"/>
              </w:rPr>
            </w:pPr>
            <w:r>
              <w:rPr>
                <w:color w:val="000000"/>
                <w:kern w:val="2"/>
                <w:sz w:val="22"/>
                <w:szCs w:val="18"/>
                <w:lang w:eastAsia="en-GB"/>
              </w:rPr>
              <w:t>PP (arba PP 5)</w:t>
            </w:r>
          </w:p>
        </w:tc>
      </w:tr>
      <w:tr>
        <w:tc>
          <w:tcPr>
            <w:tcW w:w="301" w:type="pct"/>
          </w:tcPr>
          <w:p>
            <w:pPr>
              <w:suppressAutoHyphens/>
              <w:jc w:val="both"/>
              <w:rPr>
                <w:color w:val="000000"/>
                <w:kern w:val="2"/>
                <w:sz w:val="22"/>
                <w:szCs w:val="18"/>
                <w:lang w:eastAsia="en-GB"/>
              </w:rPr>
            </w:pPr>
            <w:r>
              <w:rPr>
                <w:color w:val="000000"/>
                <w:kern w:val="2"/>
                <w:sz w:val="22"/>
                <w:szCs w:val="18"/>
                <w:lang w:eastAsia="en-GB"/>
              </w:rPr>
              <w:t>11.</w:t>
            </w:r>
          </w:p>
        </w:tc>
        <w:tc>
          <w:tcPr>
            <w:tcW w:w="2805" w:type="pct"/>
          </w:tcPr>
          <w:p>
            <w:pPr>
              <w:suppressAutoHyphens/>
              <w:jc w:val="both"/>
              <w:rPr>
                <w:color w:val="000000"/>
                <w:kern w:val="2"/>
                <w:sz w:val="22"/>
                <w:szCs w:val="18"/>
                <w:lang w:eastAsia="en-GB"/>
              </w:rPr>
            </w:pPr>
            <w:r>
              <w:rPr>
                <w:color w:val="000000"/>
                <w:kern w:val="2"/>
                <w:sz w:val="22"/>
                <w:szCs w:val="18"/>
                <w:lang w:eastAsia="en-GB"/>
              </w:rPr>
              <w:t>Polistirenas</w:t>
            </w:r>
          </w:p>
        </w:tc>
        <w:tc>
          <w:tcPr>
            <w:tcW w:w="1895" w:type="pct"/>
          </w:tcPr>
          <w:p>
            <w:pPr>
              <w:suppressAutoHyphens/>
              <w:jc w:val="both"/>
              <w:rPr>
                <w:color w:val="000000"/>
                <w:kern w:val="2"/>
                <w:sz w:val="22"/>
                <w:szCs w:val="18"/>
                <w:lang w:eastAsia="en-GB"/>
              </w:rPr>
            </w:pPr>
            <w:r>
              <w:rPr>
                <w:color w:val="000000"/>
                <w:kern w:val="2"/>
                <w:sz w:val="22"/>
                <w:szCs w:val="18"/>
                <w:lang w:eastAsia="en-GB"/>
              </w:rPr>
              <w:t>PS (arba PS 6)</w:t>
            </w:r>
          </w:p>
        </w:tc>
      </w:tr>
    </w:tbl>
    <w:p>
      <w:pPr>
        <w:suppressAutoHyphens/>
        <w:ind w:firstLine="851"/>
        <w:jc w:val="both"/>
        <w:rPr>
          <w:b/>
          <w:bCs/>
          <w:lang w:eastAsia="lt-LT"/>
        </w:rPr>
      </w:pPr>
      <w:r>
        <w:rPr>
          <w:color w:val="000000"/>
          <w:szCs w:val="24"/>
          <w:lang w:eastAsia="en-GB"/>
        </w:rPr>
        <w:t xml:space="preserve">Atitiktį reikalavimams įrodantys dokumentai: tiekėjo ar gamintojo dokumentai, įrodantys, kad pakuotės yra homogeniškos ir (ar) atitinkamai paženklintos, arba atitiktis standartams, pagal kuriuos įrodoma, kad pakuočių medžiagos perdirbamos pvz., standartas LST EN 13432 „Pakuotė. Naudotų pakuočių, numatomų kompostuoti ir biologiškai skaidyti, reikalavimai.“, standartas </w:t>
      </w:r>
      <w:r>
        <w:rPr>
          <w:i/>
          <w:iCs/>
          <w:color w:val="000000"/>
          <w:szCs w:val="24"/>
          <w:lang w:eastAsia="en-GB"/>
        </w:rPr>
        <w:t xml:space="preserve">Voluntary Standard for Repulping and Recycling Corrugated Fiberboard Treated to Improve Its Performance in the Presence of Water and Water Vapor, </w:t>
      </w:r>
      <w:r>
        <w:rPr>
          <w:color w:val="000000"/>
          <w:szCs w:val="24"/>
          <w:lang w:eastAsia="en-GB"/>
        </w:rPr>
        <w:t>standartas</w:t>
      </w:r>
      <w:r>
        <w:rPr>
          <w:i/>
          <w:iCs/>
          <w:color w:val="000000"/>
          <w:szCs w:val="24"/>
          <w:lang w:eastAsia="en-GB"/>
        </w:rPr>
        <w:t xml:space="preserve"> RecyClass </w:t>
      </w:r>
      <w:r>
        <w:rPr>
          <w:color w:val="000000"/>
          <w:szCs w:val="24"/>
          <w:lang w:eastAsia="en-GB"/>
        </w:rPr>
        <w:t xml:space="preserve">ar kitas lygiavertis standartas, arba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suppressAutoHyphens/>
        <w:jc w:val="center"/>
        <w:rPr>
          <w:b/>
          <w:bCs/>
          <w:lang w:eastAsia="lt-LT"/>
        </w:rPr>
      </w:pPr>
      <w:r>
        <w:rPr>
          <w:b/>
          <w:bCs/>
          <w:lang w:eastAsia="lt-LT"/>
        </w:rPr>
        <w:t>III</w:t>
      </w:r>
      <w:r>
        <w:rPr>
          <w:b/>
          <w:bCs/>
          <w:lang w:eastAsia="lt-LT"/>
        </w:rPr>
        <w:t xml:space="preserve"> SKYRIUS</w:t>
      </w:r>
    </w:p>
    <w:p>
      <w:pPr>
        <w:suppressAutoHyphens/>
        <w:jc w:val="center"/>
        <w:rPr>
          <w:b/>
          <w:bCs/>
          <w:lang w:eastAsia="lt-LT"/>
        </w:rPr>
      </w:pPr>
      <w:r>
        <w:rPr>
          <w:b/>
          <w:bCs/>
          <w:lang w:eastAsia="lt-LT"/>
        </w:rPr>
        <w:t>BIURO ĮRANGA IR BUITINĖ TECHNIKA</w:t>
      </w:r>
    </w:p>
    <w:p>
      <w:pPr>
        <w:suppressAutoHyphens/>
        <w:jc w:val="center"/>
        <w:rPr>
          <w:b/>
          <w:bCs/>
          <w:lang w:eastAsia="lt-LT"/>
        </w:rPr>
      </w:pPr>
    </w:p>
    <w:p>
      <w:pPr>
        <w:suppressAutoHyphens/>
        <w:ind w:firstLine="851"/>
        <w:jc w:val="both"/>
        <w:rPr>
          <w:b/>
          <w:bCs/>
          <w:lang w:eastAsia="lt-LT"/>
        </w:rPr>
      </w:pPr>
      <w:r>
        <w:rPr>
          <w:szCs w:val="24"/>
        </w:rPr>
        <w:t>3</w:t>
      </w:r>
      <w:r>
        <w:rPr>
          <w:szCs w:val="24"/>
        </w:rPr>
        <w:t>. Biuro įranga ir buitinė technika: prekės, kurios įtrauktos į Lietuvos Respublikos energetikos ministro 2015 m. birželio 18 d. įsakymu Nr. 1-154 „Dėl Prekių, išskyrus kelių transporto priemones, kurioms viešųjų pirkimų metu taikomi energijos vartojimo efektyvumo reikalavimai, sąrašo patvirtinimo“ patvirtintą Prekių, išskyrus kelių transporto priemones, kurioms viešųjų pirkimų metu taikomi energijos vartojimo efektyvumo reikalavimai, sąrašą, turi atitikti aukščiausio energinio efektyvumo klasę (prieinamą Lietuvos rinkoje), nustatytą Europos Komisijos reglamentuose dėl gaminių energijos vartojimo efektyvumo ženklinimo reikalavimų. Jeigu minėti reikalavimai prekėms netaikomi, prekės turi atitikti Europos Komisijos reglamentuose dėl gaminių ekologinio projektavimo nustatytus efektyvaus energijos vartojimo kriterijus.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suppressLineNumbers/>
        <w:suppressAutoHyphens/>
        <w:ind w:left="283" w:hanging="283"/>
        <w:jc w:val="center"/>
        <w:rPr>
          <w:rFonts w:eastAsia="Arial"/>
          <w:b/>
          <w:bCs/>
          <w:szCs w:val="24"/>
          <w:lang w:eastAsia="en-GB"/>
        </w:rPr>
      </w:pPr>
      <w:r>
        <w:rPr>
          <w:b/>
          <w:bCs/>
          <w:szCs w:val="24"/>
          <w:lang w:eastAsia="lt-LT"/>
        </w:rPr>
        <w:br/>
      </w:r>
      <w:r>
        <w:rPr>
          <w:b/>
          <w:bCs/>
          <w:szCs w:val="24"/>
          <w:lang w:eastAsia="lt-LT"/>
        </w:rPr>
        <w:t>IV</w:t>
      </w:r>
      <w:r>
        <w:rPr>
          <w:b/>
          <w:bCs/>
          <w:szCs w:val="24"/>
          <w:lang w:eastAsia="lt-LT"/>
        </w:rPr>
        <w:t xml:space="preserve"> </w:t>
      </w:r>
      <w:r>
        <w:rPr>
          <w:rFonts w:eastAsia="Arial"/>
          <w:b/>
          <w:bCs/>
          <w:szCs w:val="24"/>
          <w:lang w:eastAsia="en-GB"/>
        </w:rPr>
        <w:t>SKYRIUS</w:t>
      </w:r>
    </w:p>
    <w:p>
      <w:pPr>
        <w:jc w:val="center"/>
        <w:rPr>
          <w:rFonts w:eastAsia="Arial"/>
          <w:b/>
          <w:bCs/>
          <w:lang w:eastAsia="en-GB"/>
        </w:rPr>
      </w:pPr>
      <w:r>
        <w:rPr>
          <w:rFonts w:eastAsia="Arial"/>
          <w:b/>
          <w:bCs/>
          <w:lang w:eastAsia="en-GB"/>
        </w:rPr>
        <w:t>KOMPIUTERIAI IR PLANŠETĖS</w:t>
      </w:r>
    </w:p>
    <w:p>
      <w:pPr>
        <w:jc w:val="center"/>
        <w:rPr>
          <w:rFonts w:eastAsia="Arial"/>
          <w:b/>
          <w:bCs/>
          <w:szCs w:val="24"/>
          <w:lang w:eastAsia="en-GB"/>
        </w:rPr>
      </w:pPr>
    </w:p>
    <w:p>
      <w:pPr>
        <w:ind w:firstLine="851"/>
        <w:rPr>
          <w:rFonts w:eastAsia="Arial"/>
          <w:szCs w:val="24"/>
          <w:lang w:eastAsia="en-GB"/>
        </w:rPr>
      </w:pPr>
      <w:r>
        <w:rPr>
          <w:rFonts w:eastAsia="Arial"/>
          <w:szCs w:val="24"/>
          <w:lang w:eastAsia="en-GB"/>
        </w:rPr>
        <w:t>4</w:t>
      </w:r>
      <w:r>
        <w:rPr>
          <w:rFonts w:eastAsia="Arial"/>
          <w:szCs w:val="24"/>
          <w:lang w:eastAsia="en-GB"/>
        </w:rPr>
        <w:t>. Kompiuteriai, nešiojamieji kompiuteriai ir planšetės:</w:t>
      </w:r>
    </w:p>
    <w:p>
      <w:pPr>
        <w:suppressAutoHyphens/>
        <w:ind w:firstLine="851"/>
        <w:jc w:val="both"/>
        <w:rPr>
          <w:rFonts w:eastAsia="Arial"/>
          <w:lang w:eastAsia="en-GB"/>
        </w:rPr>
      </w:pPr>
      <w:r>
        <w:rPr>
          <w:szCs w:val="24"/>
        </w:rPr>
        <w:t>4.1</w:t>
      </w:r>
      <w:r>
        <w:rPr>
          <w:szCs w:val="24"/>
        </w:rPr>
        <w:t>. prekės, įtrauktos į Lietuvos Respublikos energetikos ministro 2015 m. birželio 18 d. įsakymu Nr. 1-154 „Dėl Prekių, išskyrus kelių transporto priemones, kurioms viešųjų pirkimų metu taikomi energijos vartojimo efektyvumo reikalavimai, sąrašo patvirtinimo“ patvirtintą Prekių, išskyrus kelių transporto priemones, kurioms viešųjų pirkimų metu taikomi energijos vartojimo efektyvumo reikalavimai, sąrašą, turi atitikti aukščiausio energinio efektyvumo klasę (prieinamą Lietuvos rinkoje), nustatytą Europos Komisijos reglamentuose dėl gaminių energijos vartojimo efektyvumo ženklinimo reikalavimų. Jeigu minėti reikalavimai prekėms netaikomi, prekės turi atitikti Europos Komisijos reglamentuose dėl gaminių ekologinio projektavimo nustatytus efektyvaus energijos vartojimo kriterijus.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suppressAutoHyphens/>
        <w:ind w:firstLine="851"/>
        <w:jc w:val="both"/>
        <w:rPr>
          <w:rFonts w:eastAsia="Arial"/>
          <w:lang w:eastAsia="en-GB"/>
        </w:rPr>
      </w:pPr>
      <w:r>
        <w:rPr>
          <w:rFonts w:eastAsia="Arial"/>
          <w:lang w:eastAsia="en-GB"/>
        </w:rPr>
        <w:t>4.2</w:t>
      </w:r>
      <w:r>
        <w:rPr>
          <w:rFonts w:eastAsia="Arial"/>
          <w:lang w:eastAsia="en-GB"/>
        </w:rPr>
        <w:t>. įranga turi turėti bent vieną standartinį USB C™ tipo lizdą (prievadą), skirtą keistis duomenimis ir pasižymintį atgaliniu suderinamumu su USB 2.0 atsižvelgiant į IEC 62680-1-3:2018 arba lygiavertį standartą;</w:t>
      </w:r>
    </w:p>
    <w:p>
      <w:pPr>
        <w:ind w:firstLine="851"/>
        <w:jc w:val="both"/>
        <w:rPr>
          <w:rFonts w:eastAsia="Arial"/>
          <w:lang w:eastAsia="en-GB"/>
        </w:rPr>
      </w:pPr>
      <w:r>
        <w:rPr>
          <w:rFonts w:eastAsia="Arial"/>
          <w:lang w:eastAsia="en-GB"/>
        </w:rPr>
        <w:t>4.3</w:t>
      </w:r>
      <w:r>
        <w:rPr>
          <w:rFonts w:eastAsia="Arial"/>
          <w:lang w:eastAsia="en-GB"/>
        </w:rPr>
        <w:t xml:space="preserve">. bateriją turinčių produktų bandymais nustatyta baterijos būklė po 300 ciklų turi būti ≥ 80 proc. </w:t>
      </w:r>
      <w:r>
        <w:rPr>
          <w:color w:val="000000"/>
          <w:lang w:eastAsia="lt-LT"/>
        </w:rPr>
        <w:t>Bandymai atliekami pagal LST EN 61960-3 „Akumuliatoriai ir jų baterijos su šarminiais arba kitokiais nerūgštiniais elektrolitais. Ličio akumuliatoriai ir baterijos, skirti nešiojamajai įrangai. 3 dalis. Prizminiai ir cilindriniai ličio akumuliatoriai ir jų baterijos“ arba lygiavertį standartą.</w:t>
      </w:r>
    </w:p>
    <w:p>
      <w:pPr>
        <w:suppressAutoHyphens/>
        <w:rPr>
          <w:lang w:eastAsia="lt-LT"/>
        </w:rPr>
      </w:pPr>
    </w:p>
    <w:p>
      <w:pPr>
        <w:suppressLineNumbers/>
        <w:suppressAutoHyphens/>
        <w:ind w:left="283" w:hanging="283"/>
        <w:jc w:val="center"/>
        <w:rPr>
          <w:b/>
          <w:bCs/>
          <w:szCs w:val="24"/>
          <w:lang w:eastAsia="lt-LT"/>
        </w:rPr>
      </w:pPr>
      <w:r>
        <w:rPr>
          <w:b/>
          <w:bCs/>
          <w:szCs w:val="24"/>
          <w:lang w:eastAsia="lt-LT"/>
        </w:rPr>
        <w:t>V</w:t>
      </w:r>
      <w:r>
        <w:rPr>
          <w:b/>
          <w:bCs/>
          <w:szCs w:val="24"/>
          <w:lang w:eastAsia="lt-LT"/>
        </w:rPr>
        <w:t xml:space="preserve"> SKYRIUS</w:t>
      </w:r>
    </w:p>
    <w:p>
      <w:pPr>
        <w:suppressLineNumbers/>
        <w:suppressAutoHyphens/>
        <w:ind w:left="283" w:hanging="283"/>
        <w:jc w:val="center"/>
        <w:rPr>
          <w:b/>
          <w:bCs/>
          <w:szCs w:val="24"/>
          <w:lang w:eastAsia="lt-LT"/>
        </w:rPr>
      </w:pPr>
      <w:r>
        <w:rPr>
          <w:b/>
          <w:bCs/>
          <w:szCs w:val="24"/>
          <w:lang w:eastAsia="lt-LT"/>
        </w:rPr>
        <w:t>MOBILIEJI TELEFONAI</w:t>
      </w:r>
    </w:p>
    <w:p>
      <w:pPr>
        <w:jc w:val="both"/>
        <w:rPr>
          <w:b/>
          <w:bCs/>
          <w:szCs w:val="24"/>
          <w:lang w:eastAsia="lt-LT"/>
        </w:rPr>
      </w:pPr>
    </w:p>
    <w:p>
      <w:pPr>
        <w:ind w:firstLine="851"/>
        <w:jc w:val="both"/>
        <w:rPr>
          <w:szCs w:val="24"/>
        </w:rPr>
      </w:pPr>
      <w:r>
        <w:rPr>
          <w:szCs w:val="24"/>
        </w:rPr>
        <w:t>5</w:t>
      </w:r>
      <w:r>
        <w:rPr>
          <w:szCs w:val="24"/>
        </w:rPr>
        <w:t xml:space="preserve">. Mobilieji telefonai: </w:t>
      </w:r>
    </w:p>
    <w:p>
      <w:pPr>
        <w:ind w:firstLine="851"/>
        <w:jc w:val="both"/>
        <w:rPr>
          <w:szCs w:val="24"/>
        </w:rPr>
      </w:pPr>
      <w:r>
        <w:rPr>
          <w:szCs w:val="24"/>
        </w:rPr>
        <w:t>5.1</w:t>
      </w:r>
      <w:r>
        <w:rPr>
          <w:szCs w:val="24"/>
        </w:rPr>
        <w:t>. produktui pagaminti naudojamose spausdintinėse plokštėse neturi būti pavojingų cheminių medžiagų, klasifikuojamų priskiriant bet kurią iš nurodytų pavojingumo ar rizikos frazę pagal 2008 m. gruodžio 16 d. Europos Parlamento ir Tarybos reglamentą (EB) Nr. 1272/2008 dėl cheminių medžiagų ir mišinių klasifikavimo, ženklinimo ir pakavimo, iš dalies keičiantį ir panaikinantį direktyvas 67/548/EEB bei 1999/45/EB ir iš dalies keičiantį Reglamentą (EB) Nr. 1907/2006 (toliau – Reglamentas (EB) Nr. 1272/2008), kancerogeninės (H350, H351), sukeliančios paveldimus genetinius defektus (H340, H341), veikiant ilgą laiką pakenkia kai kuriems organams (H372, H373), toksiškos reprodukcijai (H360D, H360F, H360FD), pavojingos vandens aplinkai (H400, H410);</w:t>
        <w:tab/>
      </w:r>
    </w:p>
    <w:p>
      <w:pPr>
        <w:pStyle w:val="PlainText"/>
        <w:ind w:firstLine="567"/>
        <w:jc w:val="both"/>
        <w:rPr>
          <w:rFonts w:ascii="Times New Roman" w:hAnsi="Times New Roman"/>
          <w:b/>
          <w:bCs/>
          <w:sz w:val="22"/>
        </w:rPr>
      </w:pPr>
      <w:r>
        <w:rPr>
          <w:rFonts w:ascii="Times New Roman" w:hAnsi="Times New Roman"/>
          <w:sz w:val="22"/>
        </w:rPr>
        <w:t>5.2</w:t>
      </w:r>
      <w:r>
        <w:rPr>
          <w:rFonts w:ascii="Times New Roman" w:hAnsi="Times New Roman"/>
          <w:sz w:val="22"/>
        </w:rPr>
        <w:t>.</w:t>
      </w:r>
      <w:r>
        <w:rPr>
          <w:rFonts w:ascii="Times New Roman" w:eastAsia="MS Mincho" w:hAnsi="Times New Roman"/>
          <w:sz w:val="20"/>
          <w:i/>
          <w:iCs/>
        </w:rPr>
        <w:t xml:space="preserve"> Neteko galios nuo 2024-02-01</w:t>
      </w:r>
    </w:p>
    <w:p>
      <w:pPr>
        <w:pStyle w:val="PlainText"/>
        <w:rPr>
          <w:rFonts w:ascii="Times New Roman" w:eastAsia="MS Mincho" w:hAnsi="Times New Roman"/>
          <w:sz w:val="20"/>
          <w:i/>
          <w:iCs/>
        </w:rPr>
      </w:pPr>
      <w:r>
        <w:rPr>
          <w:rFonts w:ascii="Times New Roman" w:eastAsia="MS Mincho" w:hAnsi="Times New Roman"/>
          <w:sz w:val="20"/>
          <w:i/>
          <w:iCs/>
        </w:rPr>
        <w:t>Papunkčio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ind w:firstLine="851"/>
        <w:jc w:val="both"/>
        <w:rPr>
          <w:szCs w:val="24"/>
        </w:rPr>
      </w:pPr>
      <w:r>
        <w:rPr>
          <w:szCs w:val="24"/>
        </w:rPr>
        <w:t>5.3</w:t>
      </w:r>
      <w:r>
        <w:rPr>
          <w:szCs w:val="24"/>
        </w:rPr>
        <w:t>. produktų bandymais nustatyta baterijos būklė po 300 ciklų turi būti ≥ 80 proc. Bandymai atliekami pagal LST EN 61960-3 „Akumuliatoriai ir jų baterijos su šarminiais arba kitokiais nerūgštiniais elektrolitais. Ličio akumuliatoriai ir baterijos, skirti nešiojamajai įrangai. 3 dalis. Prizminiai ir cilindriniai ličio akumuliatoriai ir jų baterijos“ arba lygiavertį standartą;</w:t>
      </w:r>
    </w:p>
    <w:p>
      <w:pPr>
        <w:ind w:firstLine="851"/>
        <w:jc w:val="both"/>
        <w:rPr>
          <w:szCs w:val="24"/>
        </w:rPr>
      </w:pPr>
      <w:r>
        <w:rPr>
          <w:szCs w:val="24"/>
        </w:rPr>
        <w:t>5.4</w:t>
      </w:r>
      <w:r>
        <w:rPr>
          <w:szCs w:val="24"/>
        </w:rPr>
        <w:t>. įrangos plastikinėse dalyse, kurių masė didesnė kaip 5 g, turi būti mažai halogenintų medžiagų. Kiekvienoje plastikinėje prietaiso dalyje turi būti mažiau kaip 1 000 ppm (0,1 proc. masės dalis) bromo ir mažiau kaip 1 000 ppm (0,1 proc. masės dalis) chloro.</w:t>
      </w:r>
    </w:p>
    <w:p>
      <w:pPr>
        <w:ind w:firstLine="851"/>
        <w:jc w:val="both"/>
        <w:rPr>
          <w:szCs w:val="24"/>
        </w:rPr>
      </w:pPr>
    </w:p>
    <w:p>
      <w:pPr>
        <w:suppressLineNumbers/>
        <w:suppressAutoHyphens/>
        <w:ind w:left="283" w:hanging="283"/>
        <w:jc w:val="center"/>
        <w:rPr>
          <w:b/>
          <w:bCs/>
          <w:szCs w:val="24"/>
          <w:lang w:eastAsia="lt-LT"/>
        </w:rPr>
      </w:pPr>
      <w:r>
        <w:rPr>
          <w:b/>
          <w:bCs/>
          <w:szCs w:val="24"/>
          <w:lang w:eastAsia="lt-LT"/>
        </w:rPr>
        <w:t>VI</w:t>
      </w:r>
      <w:r>
        <w:rPr>
          <w:b/>
          <w:bCs/>
          <w:szCs w:val="24"/>
          <w:lang w:eastAsia="lt-LT"/>
        </w:rPr>
        <w:t xml:space="preserve"> SKYRIUS</w:t>
      </w:r>
    </w:p>
    <w:p>
      <w:pPr>
        <w:suppressLineNumbers/>
        <w:suppressAutoHyphens/>
        <w:ind w:left="283" w:hanging="283"/>
        <w:jc w:val="center"/>
        <w:rPr>
          <w:b/>
          <w:bCs/>
          <w:szCs w:val="24"/>
          <w:lang w:eastAsia="lt-LT"/>
        </w:rPr>
      </w:pPr>
      <w:r>
        <w:rPr>
          <w:b/>
          <w:bCs/>
          <w:szCs w:val="24"/>
          <w:lang w:eastAsia="lt-LT"/>
        </w:rPr>
        <w:t>TELEVIZORIAI IR MONITORIAI</w:t>
      </w:r>
    </w:p>
    <w:p>
      <w:pPr>
        <w:suppressLineNumbers/>
        <w:suppressAutoHyphens/>
        <w:ind w:left="283" w:hanging="283"/>
        <w:jc w:val="center"/>
        <w:rPr>
          <w:b/>
          <w:bCs/>
          <w:szCs w:val="24"/>
          <w:lang w:eastAsia="lt-LT"/>
        </w:rPr>
      </w:pPr>
    </w:p>
    <w:p>
      <w:pPr>
        <w:suppressLineNumbers/>
        <w:suppressAutoHyphens/>
        <w:ind w:left="283" w:firstLine="568"/>
        <w:rPr>
          <w:szCs w:val="24"/>
          <w:lang w:eastAsia="lt-LT"/>
        </w:rPr>
      </w:pPr>
      <w:r>
        <w:rPr>
          <w:szCs w:val="24"/>
          <w:lang w:eastAsia="lt-LT"/>
        </w:rPr>
        <w:t>6</w:t>
      </w:r>
      <w:r>
        <w:rPr>
          <w:szCs w:val="24"/>
          <w:lang w:eastAsia="lt-LT"/>
        </w:rPr>
        <w:t>. Televizoriai ir monitoriai:</w:t>
      </w:r>
    </w:p>
    <w:p>
      <w:pPr>
        <w:suppressAutoHyphens/>
        <w:ind w:firstLine="851"/>
        <w:jc w:val="both"/>
        <w:rPr>
          <w:lang w:eastAsia="lt-LT"/>
        </w:rPr>
      </w:pPr>
      <w:r>
        <w:rPr>
          <w:szCs w:val="24"/>
        </w:rPr>
        <w:t>6.1</w:t>
      </w:r>
      <w:r>
        <w:rPr>
          <w:szCs w:val="24"/>
        </w:rPr>
        <w:t>. prekės, įtrauktos į Lietuvos Respublikos energetikos ministro 2015 m. birželio 18 d. įsakymu Nr. 1-154 „Dėl Prekių, išskyrus kelių transporto priemones, kurioms viešųjų pirkimų metu taikomi energijos vartojimo efektyvumo reikalavimai, sąrašo patvirtinimo“ patvirtintą Prekių, išskyrus kelių transporto priemones, kurioms viešųjų pirkimų metu taikomi energijos vartojimo efektyvumo reikalavimai, sąrašą, turi atitikti aukščiausio energinio efektyvumo klasę (prieinamą Lietuvos rinkoje), nustatytą Europos Komisijos reglamentuose dėl gaminių energijos vartojimo efektyvumo ženklinimo reikalavimų. Jeigu minėti reikalavimai prekėms netaikomi, prekės turi atitikti Europos Komisijos reglamentuose dėl gaminių ekologinio projektavimo nustatytus efektyvaus energijos vartojimo kriterijus.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suppressAutoHyphens/>
        <w:ind w:firstLine="851"/>
        <w:jc w:val="both"/>
        <w:rPr>
          <w:lang w:eastAsia="lt-LT"/>
        </w:rPr>
      </w:pPr>
      <w:r>
        <w:rPr>
          <w:lang w:eastAsia="lt-LT"/>
        </w:rPr>
        <w:t>6.2</w:t>
      </w:r>
      <w:r>
        <w:rPr>
          <w:lang w:eastAsia="lt-LT"/>
        </w:rPr>
        <w:t>. produkte neturi būti gyvsidabrio;</w:t>
      </w:r>
    </w:p>
    <w:p>
      <w:pPr>
        <w:suppressAutoHyphens/>
        <w:ind w:firstLine="851"/>
        <w:jc w:val="both"/>
        <w:rPr>
          <w:lang w:eastAsia="lt-LT"/>
        </w:rPr>
      </w:pPr>
      <w:r>
        <w:rPr>
          <w:lang w:eastAsia="lt-LT"/>
        </w:rPr>
        <w:t>6.3</w:t>
      </w:r>
      <w:r>
        <w:rPr>
          <w:lang w:eastAsia="lt-LT"/>
        </w:rPr>
        <w:t>. plastikinėse detalėse neturi būti naudojamos cheminės medžiagos, klasifikuojamos priskiriant bet kurią iš nurodytų pavojingumo frazę pagal Reglamentą (EB) Nr. 1272/2008 (OL 2008 L 353, p. 1): kancerogeninės (H350), sukeliančios paveldimus genetinius defektus (H340), toksiškos reprodukcijai (H360F, H360FD, H360D, H360Df, H361f, H361fd, H360Df, H361d, H360Fd).</w:t>
      </w:r>
    </w:p>
    <w:p>
      <w:pPr>
        <w:suppressLineNumbers/>
        <w:suppressAutoHyphens/>
        <w:ind w:left="283" w:hanging="283"/>
        <w:jc w:val="center"/>
        <w:rPr>
          <w:b/>
          <w:bCs/>
          <w:szCs w:val="24"/>
          <w:lang w:eastAsia="lt-LT"/>
        </w:rPr>
      </w:pPr>
    </w:p>
    <w:p>
      <w:pPr>
        <w:suppressLineNumbers/>
        <w:suppressAutoHyphens/>
        <w:ind w:left="283" w:hanging="283"/>
        <w:jc w:val="center"/>
        <w:rPr>
          <w:rFonts w:eastAsia="Arial"/>
          <w:b/>
          <w:bCs/>
          <w:szCs w:val="24"/>
          <w:lang w:eastAsia="en-GB"/>
        </w:rPr>
      </w:pPr>
      <w:r>
        <w:rPr>
          <w:rFonts w:eastAsia="Arial"/>
          <w:b/>
          <w:bCs/>
          <w:szCs w:val="24"/>
          <w:lang w:eastAsia="en-GB"/>
        </w:rPr>
        <w:t>VII</w:t>
      </w:r>
      <w:r>
        <w:rPr>
          <w:rFonts w:eastAsia="Arial"/>
          <w:b/>
          <w:bCs/>
          <w:szCs w:val="24"/>
          <w:lang w:eastAsia="en-GB"/>
        </w:rPr>
        <w:t xml:space="preserve"> SKYRIUS</w:t>
      </w:r>
    </w:p>
    <w:p>
      <w:pPr>
        <w:suppressLineNumbers/>
        <w:suppressAutoHyphens/>
        <w:ind w:left="283" w:hanging="283"/>
        <w:jc w:val="center"/>
        <w:rPr>
          <w:rFonts w:eastAsia="Arial"/>
          <w:b/>
          <w:bCs/>
          <w:szCs w:val="24"/>
          <w:lang w:eastAsia="en-GB"/>
        </w:rPr>
      </w:pPr>
      <w:r>
        <w:rPr>
          <w:rFonts w:eastAsia="Arial"/>
          <w:b/>
          <w:bCs/>
          <w:szCs w:val="24"/>
          <w:lang w:eastAsia="en-GB"/>
        </w:rPr>
        <w:t>BALDAI</w:t>
      </w:r>
    </w:p>
    <w:p>
      <w:pPr>
        <w:suppressLineNumbers/>
        <w:suppressAutoHyphens/>
        <w:ind w:left="283" w:hanging="283"/>
        <w:jc w:val="center"/>
        <w:rPr>
          <w:rFonts w:eastAsia="Arial"/>
          <w:b/>
          <w:bCs/>
          <w:szCs w:val="24"/>
          <w:lang w:eastAsia="en-GB"/>
        </w:rPr>
      </w:pPr>
    </w:p>
    <w:p>
      <w:pPr>
        <w:suppressLineNumbers/>
        <w:suppressAutoHyphens/>
        <w:ind w:left="283" w:firstLine="568"/>
        <w:rPr>
          <w:rFonts w:eastAsia="Arial"/>
          <w:szCs w:val="24"/>
          <w:lang w:eastAsia="en-GB"/>
        </w:rPr>
      </w:pPr>
      <w:r>
        <w:rPr>
          <w:rFonts w:eastAsia="Arial"/>
          <w:szCs w:val="24"/>
          <w:lang w:eastAsia="en-GB"/>
        </w:rPr>
        <w:t>7</w:t>
      </w:r>
      <w:r>
        <w:rPr>
          <w:rFonts w:eastAsia="Arial"/>
          <w:szCs w:val="24"/>
          <w:lang w:eastAsia="en-GB"/>
        </w:rPr>
        <w:t xml:space="preserve">. Baldai: </w:t>
      </w:r>
    </w:p>
    <w:p>
      <w:pPr>
        <w:suppressAutoHyphens/>
        <w:ind w:firstLine="851"/>
        <w:jc w:val="both"/>
        <w:rPr>
          <w:lang w:eastAsia="lt-LT"/>
        </w:rPr>
      </w:pPr>
      <w:r>
        <w:rPr>
          <w:rFonts w:eastAsia="Arial"/>
          <w:lang w:eastAsia="en-GB"/>
        </w:rPr>
        <w:t>7.1</w:t>
      </w:r>
      <w:r>
        <w:rPr>
          <w:rFonts w:eastAsia="Arial"/>
          <w:lang w:eastAsia="en-GB"/>
        </w:rPr>
        <w:t>.</w:t>
      </w:r>
      <w:r>
        <w:rPr>
          <w:rFonts w:eastAsia="Arial"/>
          <w:b/>
          <w:bCs/>
          <w:lang w:eastAsia="en-GB"/>
        </w:rPr>
        <w:t xml:space="preserve"> </w:t>
      </w:r>
      <w:r>
        <w:rPr>
          <w:rFonts w:eastAsia="Arial"/>
          <w:lang w:eastAsia="en-GB"/>
        </w:rPr>
        <w:t xml:space="preserve">ne mažiau kaip </w:t>
      </w:r>
      <w:r>
        <w:rPr>
          <w:lang w:eastAsia="lt-LT"/>
        </w:rPr>
        <w:t>80 proc. balduose naudojamos medienos, medienos medžiagų ir gaminių turi būti iš miškų, sertifikuotų naudojant FSC ar PEFC miškų sertifikavimo sistemas arba lygiavertes sertifikavimo sistemas;</w:t>
      </w:r>
    </w:p>
    <w:p>
      <w:pPr>
        <w:tabs>
          <w:tab w:val="left" w:pos="420"/>
        </w:tabs>
        <w:suppressAutoHyphens/>
        <w:ind w:firstLine="851"/>
        <w:jc w:val="both"/>
        <w:rPr>
          <w:lang w:eastAsia="lt-LT"/>
        </w:rPr>
      </w:pPr>
      <w:r>
        <w:rPr>
          <w:lang w:eastAsia="lt-LT"/>
        </w:rPr>
        <w:t>7.2</w:t>
      </w:r>
      <w:r>
        <w:rPr>
          <w:lang w:eastAsia="lt-LT"/>
        </w:rPr>
        <w:t>. visos plastikinės dalys, kurių masė ≥ 50 g, turi būti paženklintos kaip tinkamos perdirbti pagal LST EN ISO 11469 „Bendrasis plastikinių gaminių identifikavimas ir ženklinimas“ (toliau – LST EN ISO 11469) ar lygiavertį standartą;</w:t>
      </w:r>
    </w:p>
    <w:p>
      <w:pPr>
        <w:tabs>
          <w:tab w:val="left" w:pos="420"/>
        </w:tabs>
        <w:suppressAutoHyphens/>
        <w:ind w:firstLine="851"/>
        <w:jc w:val="both"/>
        <w:rPr>
          <w:lang w:eastAsia="lt-LT"/>
        </w:rPr>
      </w:pPr>
      <w:r>
        <w:rPr>
          <w:lang w:eastAsia="lt-LT"/>
        </w:rPr>
        <w:t>7.3</w:t>
      </w:r>
      <w:r>
        <w:rPr>
          <w:lang w:eastAsia="lt-LT"/>
        </w:rPr>
        <w:t>. jei baldo kamšalo sudėtyje naudojamos sintetinės poliesterio medžiagos, jų sudėtyje turi būti dalis perdirbtų medžiagų;</w:t>
      </w:r>
    </w:p>
    <w:p>
      <w:pPr>
        <w:tabs>
          <w:tab w:val="left" w:pos="420"/>
        </w:tabs>
        <w:suppressAutoHyphens/>
        <w:ind w:firstLine="851"/>
        <w:jc w:val="both"/>
        <w:rPr>
          <w:lang w:eastAsia="lt-LT"/>
        </w:rPr>
      </w:pPr>
      <w:r>
        <w:rPr>
          <w:lang w:eastAsia="lt-LT"/>
        </w:rPr>
        <w:t>7.4</w:t>
      </w:r>
      <w:r>
        <w:rPr>
          <w:lang w:eastAsia="lt-LT"/>
        </w:rPr>
        <w:t>. paviršiams dengti naudojamuose produktuose:</w:t>
      </w:r>
    </w:p>
    <w:p>
      <w:pPr>
        <w:tabs>
          <w:tab w:val="left" w:pos="420"/>
        </w:tabs>
        <w:suppressAutoHyphens/>
        <w:ind w:firstLine="851"/>
        <w:jc w:val="both"/>
        <w:rPr>
          <w:lang w:eastAsia="lt-LT"/>
        </w:rPr>
      </w:pPr>
      <w:r>
        <w:rPr>
          <w:lang w:eastAsia="lt-LT"/>
        </w:rPr>
        <w:t>7.4.1</w:t>
      </w:r>
      <w:r>
        <w:rPr>
          <w:lang w:eastAsia="lt-LT"/>
        </w:rPr>
        <w:t>. neturi būti pavojingų cheminių medžiagų, klasifikuojamų priskiriant bet kurią iš nurodytų pavojingumo frazę pagal Reglamentą (EB) Nr. 1272/2008: kancerogeninės (H350, H350i, H351), sukeliančios paveldimus genetinius defektus (H340, H341), toksiškos reprodukcijai (H360D, H360F, 361f, 361d), pavojingos vandens aplinkai (H400, H410, H411), toksiškos ar labai toksiškos (H300, H301, H310, H311, H330, H331), kenkia organams (H370), veikdamos ilgą laiką pakenkia kai kuriems organams (H372);</w:t>
      </w:r>
    </w:p>
    <w:p>
      <w:pPr>
        <w:tabs>
          <w:tab w:val="left" w:pos="420"/>
        </w:tabs>
        <w:suppressAutoHyphens/>
        <w:ind w:firstLine="851"/>
        <w:jc w:val="both"/>
        <w:rPr>
          <w:lang w:eastAsia="lt-LT"/>
        </w:rPr>
      </w:pPr>
      <w:r>
        <w:rPr>
          <w:lang w:eastAsia="lt-LT"/>
        </w:rPr>
        <w:t>7.4.2</w:t>
      </w:r>
      <w:r>
        <w:rPr>
          <w:lang w:eastAsia="lt-LT"/>
        </w:rPr>
        <w:t xml:space="preserve">. neturi būti daugiau kaip 5 proc. masės lakiųjų organinių junginių (LOJ); </w:t>
      </w:r>
    </w:p>
    <w:p>
      <w:pPr>
        <w:tabs>
          <w:tab w:val="left" w:pos="420"/>
        </w:tabs>
        <w:suppressAutoHyphens/>
        <w:ind w:firstLine="851"/>
        <w:jc w:val="both"/>
        <w:rPr>
          <w:lang w:eastAsia="lt-LT"/>
        </w:rPr>
      </w:pPr>
      <w:r>
        <w:rPr>
          <w:lang w:eastAsia="lt-LT"/>
        </w:rPr>
        <w:t>7.4.3</w:t>
      </w:r>
      <w:r>
        <w:rPr>
          <w:lang w:eastAsia="lt-LT"/>
        </w:rPr>
        <w:t xml:space="preserve">. neturi būti chromo (VI) junginių; </w:t>
      </w:r>
    </w:p>
    <w:p>
      <w:pPr>
        <w:tabs>
          <w:tab w:val="left" w:pos="420"/>
        </w:tabs>
        <w:suppressAutoHyphens/>
        <w:ind w:firstLine="851"/>
        <w:jc w:val="both"/>
        <w:rPr>
          <w:lang w:eastAsia="lt-LT"/>
        </w:rPr>
      </w:pPr>
      <w:r>
        <w:rPr>
          <w:lang w:eastAsia="lt-LT"/>
        </w:rPr>
        <w:t>7.4.4</w:t>
      </w:r>
      <w:r>
        <w:rPr>
          <w:lang w:eastAsia="lt-LT"/>
        </w:rPr>
        <w:t>. formaldehido išmetamieji teršalai neturi viršyti 0,05 ppm.</w:t>
      </w:r>
    </w:p>
    <w:p>
      <w:pPr>
        <w:suppressLineNumbers/>
        <w:suppressAutoHyphens/>
        <w:ind w:left="283" w:hanging="283"/>
        <w:jc w:val="center"/>
        <w:rPr>
          <w:rFonts w:eastAsia="Arial"/>
          <w:b/>
          <w:bCs/>
          <w:szCs w:val="24"/>
          <w:lang w:eastAsia="en-GB"/>
        </w:rPr>
      </w:pPr>
    </w:p>
    <w:p>
      <w:pPr>
        <w:suppressAutoHyphens/>
        <w:jc w:val="center"/>
        <w:rPr>
          <w:b/>
          <w:bCs/>
          <w:szCs w:val="24"/>
        </w:rPr>
      </w:pPr>
      <w:r>
        <w:rPr>
          <w:b/>
          <w:bCs/>
          <w:szCs w:val="24"/>
        </w:rPr>
        <w:t>VIII</w:t>
      </w:r>
      <w:r>
        <w:rPr>
          <w:b/>
          <w:bCs/>
          <w:szCs w:val="24"/>
        </w:rPr>
        <w:t xml:space="preserve"> SKYRIUS</w:t>
      </w:r>
    </w:p>
    <w:p>
      <w:pPr>
        <w:suppressAutoHyphens/>
        <w:jc w:val="center"/>
        <w:rPr>
          <w:b/>
          <w:bCs/>
          <w:szCs w:val="24"/>
        </w:rPr>
      </w:pPr>
      <w:r>
        <w:rPr>
          <w:b/>
          <w:bCs/>
          <w:szCs w:val="24"/>
        </w:rPr>
        <w:t>MAISTO PRODUKTAI IR MAITINIMO PASLAUGOS</w:t>
      </w:r>
    </w:p>
    <w:p>
      <w:pPr>
        <w:suppressAutoHyphens/>
        <w:jc w:val="center"/>
        <w:rPr>
          <w:b/>
          <w:bCs/>
          <w:szCs w:val="24"/>
        </w:rPr>
      </w:pPr>
    </w:p>
    <w:p>
      <w:pPr>
        <w:suppressAutoHyphens/>
        <w:ind w:firstLine="851"/>
        <w:jc w:val="both"/>
        <w:rPr>
          <w:szCs w:val="24"/>
        </w:rPr>
      </w:pPr>
      <w:r>
        <w:rPr>
          <w:szCs w:val="24"/>
        </w:rPr>
        <w:t>8</w:t>
      </w:r>
      <w:r>
        <w:rPr>
          <w:szCs w:val="24"/>
        </w:rPr>
        <w:t>. Maisto produktai ir maitinimo paslaugos:</w:t>
      </w:r>
    </w:p>
    <w:p>
      <w:pPr>
        <w:suppressAutoHyphens/>
        <w:ind w:firstLine="851"/>
        <w:jc w:val="both"/>
        <w:rPr>
          <w:szCs w:val="24"/>
        </w:rPr>
      </w:pPr>
      <w:r>
        <w:rPr>
          <w:szCs w:val="24"/>
        </w:rPr>
        <w:t>8.1</w:t>
      </w:r>
      <w:r>
        <w:rPr>
          <w:szCs w:val="24"/>
        </w:rPr>
        <w:t>. ne mažiau kaip 30 proc. perkamų maisto produktų (išskyrus skirtus gyvūnams) kiekio (kilogramais, litrais, vienetais) turi atitikti bent vieną iš šių minimalių aplinkos apsaugos kriterijų:</w:t>
      </w:r>
    </w:p>
    <w:p>
      <w:pPr>
        <w:suppressAutoHyphens/>
        <w:ind w:firstLine="851"/>
        <w:jc w:val="both"/>
        <w:rPr>
          <w:szCs w:val="24"/>
        </w:rPr>
      </w:pPr>
      <w:r>
        <w:rPr>
          <w:szCs w:val="24"/>
        </w:rPr>
        <w:t>8.1.1</w:t>
      </w:r>
      <w:r>
        <w:rPr>
          <w:szCs w:val="24"/>
        </w:rPr>
        <w:t>. produktai turi turėti ekologinės gamybos (ekologiškam ir perėjimo prie ekologinės gamybos laikotarpio) produktui išduotą sertifikatą pagal 2018 m. gegužės 30 d. Europos Parlamento ir Tarybos reglamento (ES) 2018/848 dėl ekologinės gamybos ir ekologiškų produktų ženklinimo, kuriuo panaikinamas Tarybos reglamentas (EB) Nr. 834/2007 su visais pakeitimais ir papildymais, reikalavimus;</w:t>
      </w:r>
    </w:p>
    <w:p>
      <w:pPr>
        <w:suppressAutoHyphens/>
        <w:ind w:firstLine="851"/>
        <w:jc w:val="both"/>
        <w:rPr>
          <w:szCs w:val="24"/>
        </w:rPr>
      </w:pPr>
      <w:r>
        <w:rPr>
          <w:szCs w:val="24"/>
        </w:rPr>
        <w:t>8.1.2</w:t>
      </w:r>
      <w:r>
        <w:rPr>
          <w:szCs w:val="24"/>
        </w:rPr>
        <w:t>. produktai turi atitikti 2024 m. balandžio 11 d. Europos Parlamento ir Tarybos reglamento (ES) 2024/1143 dėl vyno, spiritinių gėrimų ir žemės ūkio produktų geografinių nuorodų, taip pat dėl garantuotų tradicinių gaminių ir žemės ūkio produktų neprivalomų kokybės terminų, kuriuo iš dalies keičiami reglamentai (ES) Nr. 1308/2013, (ES) 2019/787 ir (ES) 2019/1753 ir panaikinamas Reglamentas (ES) Nr. 1151/2012, ir (ar) Lietuvos Respublikos žemės ūkio ministro 2015 m. sausio 7 d. įsakymo Nr. 3D-10 „Dėl žemės ūkio ir maisto produktų saugomų kilmės vietos nuorodų, saugomų geografinių nuorodų ir garantuotų tradicinių gaminių įregistravimo ir kai kurių žemės ūkio ministro įsakymų pripažinimo netekusiais galios“ reikalavimus ir jiems suteikta saugoma geografinė nuoroda ir (ar) saugoma kilmės vietos nuoroda, ir (ar) garantuoto tradicinio gaminio nuoroda (toliau – saugomos nuorodos);</w:t>
      </w:r>
    </w:p>
    <w:p>
      <w:pPr>
        <w:suppressAutoHyphens/>
        <w:ind w:firstLine="851"/>
        <w:jc w:val="both"/>
        <w:rPr>
          <w:szCs w:val="24"/>
        </w:rPr>
      </w:pPr>
      <w:r>
        <w:rPr>
          <w:szCs w:val="24"/>
        </w:rPr>
        <w:t>8.1.3</w:t>
      </w:r>
      <w:r>
        <w:rPr>
          <w:szCs w:val="24"/>
        </w:rPr>
        <w:t>. produktai turi būti sertifikuoti ženklu „Kokybė“, kaip numatyta Lietuvos Respublikos žemės ūkio ministro 2022 m. gegužės 20 d. įsakymu Nr. 3D-351 „Dėl Nacionalinės maisto kokybės sistemos taisyklių patvirtinimo ir kai kurių žemės ūkio ministro įsakymų pripažinimo netekusiais galios“ (toliau – NKP), ar atitikti Europos Parlamento ir Tarybos reglamento (ES) Nr. 1305/2013 dėl paramos kaimo plėtrai, teikiamos Europos žemės ūkio fondo kaimo plėtrai (EŽŪFKP) lėšomis, kuriuo panaikinamas Tarybos reglamentas (EB) Nr. 1698/2005, 16 straipsnio 1 punkto b dalyje nurodytų lygiaverčių kitų valstybių narių pripažintų maisto produktų kokybės sistemų (toliau – lygiavertės kitų valstybių narių pripažintos maisto produktų kokybės sistemos) reikalavimus;</w:t>
      </w:r>
    </w:p>
    <w:p>
      <w:pPr>
        <w:ind w:firstLine="851"/>
        <w:jc w:val="both"/>
        <w:rPr>
          <w:color w:val="000000"/>
          <w:szCs w:val="24"/>
          <w:lang w:eastAsia="lt-LT"/>
        </w:rPr>
      </w:pPr>
      <w:r>
        <w:rPr>
          <w:color w:val="000000"/>
          <w:szCs w:val="24"/>
          <w:lang w:eastAsia="lt-LT"/>
        </w:rPr>
        <w:t>8.1.4</w:t>
      </w:r>
      <w:r>
        <w:rPr>
          <w:color w:val="000000"/>
          <w:szCs w:val="24"/>
          <w:lang w:eastAsia="lt-LT"/>
        </w:rPr>
        <w:t>. žuvys, moliuskai ir vėžiagyviai turi atitikti bent vieną iš 8.1.1</w:t>
      </w:r>
      <w:r>
        <w:rPr>
          <w:szCs w:val="24"/>
        </w:rPr>
        <w:t>–</w:t>
      </w:r>
      <w:r>
        <w:rPr>
          <w:color w:val="000000"/>
          <w:szCs w:val="24"/>
          <w:lang w:eastAsia="lt-LT"/>
        </w:rPr>
        <w:t>8.1.3 papunkčiuose išvardytų minimalių aplinkos apsaugos kriterijų arba būti sertifikuoti pagal tausios žvejybos ar darnios akvakultūros schemas ir paženklinti ekologiniais ženklais, pvz., „Aquaculture Stewardship Council“, „The Marine Stewardship Council“, „Best Aquaculture Practices“ arba kitu lygiaverčiu ekologiniu ženklu.</w:t>
      </w:r>
    </w:p>
    <w:p>
      <w:pPr>
        <w:ind w:firstLine="851"/>
        <w:jc w:val="both"/>
        <w:rPr>
          <w:color w:val="000000"/>
          <w:szCs w:val="24"/>
        </w:rPr>
      </w:pPr>
      <w:r>
        <w:rPr>
          <w:color w:val="000000"/>
          <w:szCs w:val="24"/>
        </w:rPr>
        <w:t xml:space="preserve">Jei maisto produktų pirkimo procedūros atliekamos dinaminių pirkimų sistemų pagrindu, pirkimo vykdytojas, siekdamas įgyvendinti 8.1 papunkčio nuostatą, maisto produktų kiekį gali skaičiuoti kiekviename konkrečiame dinaminės pirkimo sistemos pagrindu atliekamame pirkime,  nepriklausomai nuo to, ar pirkimas skaidomas į atskiras pirkimo objekto dalis, ar yra atliekamas pagal dinaminės pirkimo sistemos kategorijas;</w:t>
      </w:r>
    </w:p>
    <w:p>
      <w:pPr>
        <w:ind w:firstLine="851"/>
        <w:jc w:val="both"/>
        <w:rPr>
          <w:szCs w:val="24"/>
        </w:rPr>
      </w:pPr>
      <w:r>
        <w:rPr>
          <w:szCs w:val="24"/>
        </w:rPr>
        <w:t>8.2</w:t>
      </w:r>
      <w:r>
        <w:rPr>
          <w:szCs w:val="24"/>
        </w:rPr>
        <w:t>.</w:t>
      </w:r>
      <w:r>
        <w:rPr>
          <w:rFonts w:ascii="Calibri" w:eastAsia="Calibri" w:hAnsi="Calibri"/>
          <w:sz w:val="22"/>
          <w:szCs w:val="22"/>
        </w:rPr>
        <w:t xml:space="preserve"> </w:t>
      </w:r>
      <w:r>
        <w:rPr>
          <w:szCs w:val="24"/>
        </w:rPr>
        <w:t>teikiant maitinimo paslaugas naudojami maisto produktai turi atitikti minimalius aplinkos apsaugos kriterijus, nustatytus maisto produktams pagal 8.1 papunktį.</w:t>
      </w:r>
    </w:p>
    <w:p>
      <w:pPr>
        <w:ind w:firstLine="851"/>
        <w:jc w:val="both"/>
        <w:rPr>
          <w:lang w:eastAsia="lt-LT"/>
        </w:rPr>
      </w:pPr>
      <w:r>
        <w:rPr>
          <w:szCs w:val="24"/>
          <w:lang w:eastAsia="lt-LT"/>
        </w:rPr>
        <w:t xml:space="preserve">Atitiktį reikalavimams įrodantys dokumentai: (8.1.1–8.1.4 papunkčiams) ekologinės gamybos sertifikatai, skelbiami TRACES sistemoje, NKP gamintojų sertifikatai, skelbiami sertifikavimo įstaigų interneto svetainėse, dokumentai, įrodantys, kad produktai yra su saugomomis nuorodomis ir registruoti Europos Komisijos tvarkomame Sąjungos geografinių nuorodų registre arba Sąjungos garantuotų tradicinių gaminių registre, </w:t>
      </w:r>
      <w:r>
        <w:rPr>
          <w:color w:val="000000"/>
          <w:szCs w:val="24"/>
        </w:rPr>
        <w:t>tausios žvejybos ar darnios akvakultūros sertifikatai</w:t>
      </w:r>
      <w:r>
        <w:rPr>
          <w:szCs w:val="24"/>
        </w:rPr>
        <w:t xml:space="preserve"> </w:t>
      </w:r>
      <w:r>
        <w:rPr>
          <w:szCs w:val="24"/>
          <w:lang w:eastAsia="lt-LT"/>
        </w:rPr>
        <w:t>arba kiti lygiaverčiai įrodymai.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92cde9195f411efa605b9842742bf37">
        <w:r w:rsidRPr="00532B9F">
          <w:rPr>
            <w:rFonts w:ascii="Times New Roman" w:eastAsia="MS Mincho" w:hAnsi="Times New Roman"/>
            <w:sz w:val="20"/>
            <w:i/>
            <w:iCs/>
            <w:color w:val="0000FF" w:themeColor="hyperlink"/>
            <w:u w:val="single"/>
          </w:rPr>
          <w:t>D1-367</w:t>
        </w:r>
      </w:fldSimple>
      <w:r>
        <w:rPr>
          <w:rFonts w:ascii="Times New Roman" w:eastAsia="MS Mincho" w:hAnsi="Times New Roman"/>
          <w:sz w:val="20"/>
          <w:i/>
          <w:iCs/>
        </w:rPr>
        <w:t>,
2024-10-29,
paskelbta TAR 2024-10-29, i. k. 2024-18741            </w:t>
      </w:r>
    </w:p>
    <w:p/>
    <w:p>
      <w:pPr>
        <w:pStyle w:val="PlainText"/>
        <w:rPr>
          <w:rFonts w:ascii="Times New Roman" w:eastAsia="MS Mincho" w:hAnsi="Times New Roman"/>
          <w:sz w:val="20"/>
          <w:i/>
          <w:iCs/>
        </w:rPr>
      </w:pPr>
      <w:r>
        <w:rPr>
          <w:rFonts w:ascii="Times New Roman" w:eastAsia="MS Mincho" w:hAnsi="Times New Roman"/>
          <w:sz w:val="20"/>
          <w:i/>
          <w:iCs/>
        </w:rPr>
        <w:t>Skyriaus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suppressLineNumbers/>
        <w:suppressAutoHyphens/>
        <w:ind w:left="283" w:hanging="283"/>
        <w:jc w:val="center"/>
        <w:rPr>
          <w:rFonts w:eastAsia="Arial"/>
          <w:b/>
          <w:bCs/>
          <w:szCs w:val="24"/>
          <w:lang w:eastAsia="en-GB"/>
        </w:rPr>
      </w:pPr>
      <w:r>
        <w:rPr>
          <w:rFonts w:eastAsia="Arial"/>
          <w:b/>
          <w:bCs/>
          <w:szCs w:val="24"/>
          <w:lang w:eastAsia="en-GB"/>
        </w:rPr>
        <w:t>IX</w:t>
      </w:r>
      <w:r>
        <w:rPr>
          <w:rFonts w:eastAsia="Arial"/>
          <w:b/>
          <w:bCs/>
          <w:szCs w:val="24"/>
          <w:lang w:eastAsia="en-GB"/>
        </w:rPr>
        <w:t xml:space="preserve"> SKYRIUS</w:t>
      </w:r>
    </w:p>
    <w:p>
      <w:pPr>
        <w:suppressLineNumbers/>
        <w:suppressAutoHyphens/>
        <w:ind w:left="283" w:hanging="283"/>
        <w:jc w:val="center"/>
        <w:rPr>
          <w:rFonts w:eastAsia="Arial"/>
          <w:b/>
          <w:bCs/>
          <w:szCs w:val="24"/>
          <w:lang w:eastAsia="en-GB"/>
        </w:rPr>
      </w:pPr>
      <w:r>
        <w:rPr>
          <w:rFonts w:eastAsia="Arial"/>
          <w:b/>
          <w:bCs/>
          <w:szCs w:val="24"/>
          <w:lang w:eastAsia="en-GB"/>
        </w:rPr>
        <w:t>TEKSTILĖS GAMINIAI</w:t>
      </w:r>
    </w:p>
    <w:p>
      <w:pPr>
        <w:suppressLineNumbers/>
        <w:suppressAutoHyphens/>
        <w:ind w:left="283" w:hanging="283"/>
        <w:jc w:val="center"/>
        <w:rPr>
          <w:rFonts w:eastAsia="Arial"/>
          <w:b/>
          <w:bCs/>
          <w:szCs w:val="24"/>
          <w:lang w:eastAsia="en-GB"/>
        </w:rPr>
      </w:pPr>
    </w:p>
    <w:p>
      <w:pPr>
        <w:suppressAutoHyphens/>
        <w:ind w:firstLine="851"/>
        <w:jc w:val="both"/>
      </w:pPr>
      <w:r>
        <w:rPr>
          <w:color w:val="000000"/>
          <w:szCs w:val="24"/>
          <w:lang w:eastAsia="lt-LT"/>
        </w:rPr>
        <w:t>9</w:t>
      </w:r>
      <w:r>
        <w:rPr>
          <w:color w:val="000000"/>
          <w:szCs w:val="24"/>
          <w:lang w:eastAsia="lt-LT"/>
        </w:rPr>
        <w:t>. Tekstilės gaminiai (išskyrus darbo rūbus):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92cde9195f411efa605b9842742bf37">
        <w:r w:rsidRPr="00532B9F">
          <w:rPr>
            <w:rFonts w:ascii="Times New Roman" w:eastAsia="MS Mincho" w:hAnsi="Times New Roman"/>
            <w:sz w:val="20"/>
            <w:i/>
            <w:iCs/>
            <w:color w:val="0000FF" w:themeColor="hyperlink"/>
            <w:u w:val="single"/>
          </w:rPr>
          <w:t>D1-367</w:t>
        </w:r>
      </w:fldSimple>
      <w:r>
        <w:rPr>
          <w:rFonts w:ascii="Times New Roman" w:eastAsia="MS Mincho" w:hAnsi="Times New Roman"/>
          <w:sz w:val="20"/>
          <w:i/>
          <w:iCs/>
        </w:rPr>
        <w:t>,
2024-10-29,
paskelbta TAR 2024-10-29, i. k. 2024-18741            </w:t>
      </w:r>
    </w:p>
    <w:p>
      <w:pPr>
        <w:suppressAutoHyphens/>
        <w:ind w:firstLine="851"/>
        <w:jc w:val="both"/>
      </w:pPr>
      <w:r>
        <w:rPr>
          <w:szCs w:val="24"/>
        </w:rPr>
        <w:t>9.1</w:t>
      </w:r>
      <w:r>
        <w:rPr>
          <w:szCs w:val="24"/>
        </w:rPr>
        <w:t xml:space="preserve">. minimalūs aplinkos apsaugos kriterijai tekstilės gaminiams, kurių bent </w:t>
      </w:r>
      <w:r>
        <w:rPr>
          <w:szCs w:val="24"/>
          <w:lang w:val="en-US"/>
        </w:rPr>
        <w:t xml:space="preserve">80 proc. </w:t>
      </w:r>
      <w:r>
        <w:rPr>
          <w:szCs w:val="24"/>
        </w:rPr>
        <w:t>masės sudaro austi, neausti arba megzti tekstilės pluoštai: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Pr>
        <w:suppressAutoHyphens/>
        <w:ind w:firstLine="851"/>
        <w:jc w:val="both"/>
        <w:rPr>
          <w:lang w:eastAsia="lt-LT"/>
        </w:rPr>
      </w:pPr>
      <w:r>
        <w:rPr>
          <w:szCs w:val="24"/>
        </w:rPr>
        <w:t>9.1.1</w:t>
      </w:r>
      <w:r>
        <w:rPr>
          <w:szCs w:val="24"/>
        </w:rPr>
        <w:t>. tekstilės pluoštuose neturi būti cheminių medžiagų, pripažintų didelį susirūpinimą keliančiomis cheminėmis medžiagomis ir įrašytų į kandidatinį autorizuotinų cheminių medžiagų sąrašą pagal 2006 m. gruodžio 18 d. Europos Parlamento ir Tarybos reglamento (EB) Nr. 1907/2006 dėl cheminių medžiagų registracijos, įvertinimo, autorizacijos ir apribojimų (REACH), įsteigiančio Europos cheminių medžiagų agentūrą, iš dalies keičiančio Direktyvą 1999/45/EB bei panaikinančio Tarybos reglamentą (EEB) Nr. 793/93, Komisijos reglamentą (EB) Nr. 1488/94, Tarybos direktyvą 76/769/EEB ir Komisijos direktyvas 91/155/EEB, 93/67/EEB, 93/105/EB bei 2000/21/EB (toliau – REACH reglamentas), 59 straipsnį, jeigu jų koncentracija produkte didesnė kaip 0,1 proc. pagal masę;</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ind w:firstLine="851"/>
        <w:jc w:val="both"/>
        <w:rPr>
          <w:color w:val="000000"/>
          <w:szCs w:val="24"/>
          <w:lang w:eastAsia="lt-LT"/>
        </w:rPr>
      </w:pPr>
      <w:r>
        <w:rPr>
          <w:color w:val="000000"/>
          <w:szCs w:val="24"/>
          <w:lang w:eastAsia="lt-LT"/>
        </w:rPr>
        <w:t>9.1.2</w:t>
      </w:r>
      <w:r>
        <w:rPr>
          <w:color w:val="000000"/>
          <w:szCs w:val="24"/>
          <w:lang w:eastAsia="lt-LT"/>
        </w:rPr>
        <w:t>. tekstilės pluoštuose negali būti šių medžiagų:</w:t>
      </w:r>
    </w:p>
    <w:tbl>
      <w:tblPr>
        <w:tblW w:w="0" w:type="dxa"/>
        <w:tblCellMar>
          <w:left w:w="0" w:type="dxa"/>
          <w:right w:w="0" w:type="dxa"/>
        </w:tblCellMar>
        <w:tblLook w:val="04A0" w:firstRow="1" w:lastRow="0" w:firstColumn="1" w:lastColumn="0" w:noHBand="0" w:noVBand="1"/>
      </w:tblPr>
      <w:tblGrid>
        <w:gridCol w:w="2475"/>
        <w:gridCol w:w="3420"/>
        <w:gridCol w:w="1800"/>
        <w:gridCol w:w="1935"/>
      </w:tblGrid>
      <w:tr>
        <w:tc>
          <w:tcPr>
            <w:tcW w:w="24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pPr>
              <w:rPr>
                <w:szCs w:val="24"/>
                <w:lang w:eastAsia="lt-LT"/>
              </w:rPr>
            </w:pPr>
            <w:r>
              <w:rPr>
                <w:sz w:val="20"/>
                <w:lang w:eastAsia="lt-LT"/>
              </w:rPr>
              <w:t>Medžiagų grupė</w:t>
            </w:r>
          </w:p>
        </w:tc>
        <w:tc>
          <w:tcPr>
            <w:tcW w:w="34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pPr>
              <w:rPr>
                <w:szCs w:val="24"/>
                <w:lang w:eastAsia="lt-LT"/>
              </w:rPr>
            </w:pPr>
            <w:r>
              <w:rPr>
                <w:sz w:val="20"/>
                <w:lang w:eastAsia="lt-LT"/>
              </w:rPr>
              <w:t>Taikomi apribojimai medžiagoms</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pPr>
              <w:rPr>
                <w:szCs w:val="24"/>
                <w:lang w:eastAsia="lt-LT"/>
              </w:rPr>
            </w:pPr>
            <w:r>
              <w:rPr>
                <w:sz w:val="20"/>
                <w:lang w:eastAsia="lt-LT"/>
              </w:rPr>
              <w:t>Koncentracijos ribos</w:t>
            </w:r>
          </w:p>
        </w:tc>
        <w:tc>
          <w:tcPr>
            <w:tcW w:w="19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pPr>
              <w:rPr>
                <w:szCs w:val="24"/>
                <w:lang w:eastAsia="lt-LT"/>
              </w:rPr>
            </w:pPr>
            <w:r>
              <w:rPr>
                <w:sz w:val="20"/>
                <w:lang w:eastAsia="lt-LT"/>
              </w:rPr>
              <w:t>Bandymo metodas</w:t>
            </w:r>
          </w:p>
        </w:tc>
      </w:tr>
      <w:tr>
        <w:tc>
          <w:tcPr>
            <w:tcW w:w="24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pPr>
              <w:ind w:left="760" w:hanging="400"/>
              <w:rPr>
                <w:sz w:val="20"/>
                <w:lang w:eastAsia="lt-LT"/>
              </w:rPr>
            </w:pPr>
            <w:r>
              <w:rPr>
                <w:sz w:val="20"/>
                <w:lang w:eastAsia="lt-LT"/>
              </w:rPr>
              <w:t>1.</w:t>
              <w:tab/>
              <w:t>Azodažikliai</w:t>
            </w:r>
          </w:p>
          <w:p>
            <w:pPr>
              <w:ind w:left="760"/>
              <w:rPr>
                <w:sz w:val="20"/>
                <w:lang w:eastAsia="lt-LT"/>
              </w:rPr>
            </w:pPr>
          </w:p>
          <w:p>
            <w:pPr>
              <w:jc w:val="center"/>
              <w:rPr>
                <w:i/>
                <w:iCs/>
                <w:sz w:val="20"/>
                <w:lang w:eastAsia="lt-LT"/>
              </w:rPr>
            </w:pPr>
            <w:r>
              <w:rPr>
                <w:i/>
                <w:iCs/>
                <w:sz w:val="20"/>
                <w:lang w:eastAsia="lt-LT"/>
              </w:rPr>
              <w:t>Taikymo sritis:</w:t>
            </w:r>
          </w:p>
          <w:p>
            <w:pPr>
              <w:jc w:val="center"/>
              <w:rPr>
                <w:sz w:val="20"/>
                <w:lang w:eastAsia="lt-LT"/>
              </w:rPr>
            </w:pPr>
            <w:r>
              <w:rPr>
                <w:sz w:val="20"/>
                <w:lang w:eastAsia="lt-LT"/>
              </w:rPr>
              <w:t>drabužiai, kurių</w:t>
            </w:r>
          </w:p>
          <w:p>
            <w:pPr>
              <w:jc w:val="center"/>
              <w:rPr>
                <w:sz w:val="20"/>
                <w:lang w:eastAsia="lt-LT"/>
              </w:rPr>
            </w:pPr>
            <w:r>
              <w:rPr>
                <w:sz w:val="20"/>
                <w:lang w:eastAsia="lt-LT"/>
              </w:rPr>
              <w:t>sudėtyje yra akrilo,</w:t>
            </w:r>
          </w:p>
          <w:p>
            <w:pPr>
              <w:jc w:val="center"/>
              <w:rPr>
                <w:sz w:val="20"/>
                <w:lang w:eastAsia="lt-LT"/>
              </w:rPr>
            </w:pPr>
            <w:r>
              <w:rPr>
                <w:sz w:val="20"/>
                <w:lang w:eastAsia="lt-LT"/>
              </w:rPr>
              <w:t>medvilnės,</w:t>
            </w:r>
          </w:p>
          <w:p>
            <w:pPr>
              <w:jc w:val="center"/>
              <w:rPr>
                <w:szCs w:val="24"/>
                <w:lang w:eastAsia="lt-LT"/>
              </w:rPr>
            </w:pPr>
            <w:r>
              <w:rPr>
                <w:sz w:val="20"/>
                <w:lang w:eastAsia="lt-LT"/>
              </w:rPr>
              <w:t>poliamido ir vilnos</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pPr>
              <w:rPr>
                <w:szCs w:val="24"/>
                <w:lang w:eastAsia="lt-LT"/>
              </w:rPr>
            </w:pPr>
            <w:r>
              <w:rPr>
                <w:sz w:val="20"/>
                <w:lang w:eastAsia="lt-LT"/>
              </w:rPr>
              <w:t>Negalima naudoti azodažiklių, galinčių skilti į aromatinius aminus.</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pPr>
              <w:rPr>
                <w:szCs w:val="24"/>
                <w:lang w:eastAsia="lt-LT"/>
              </w:rPr>
            </w:pPr>
            <w:r>
              <w:rPr>
                <w:sz w:val="20"/>
                <w:lang w:eastAsia="lt-LT"/>
              </w:rPr>
              <w:t>Kiekvieno amino ne daugiau kaip 30 mg/kg</w:t>
            </w:r>
          </w:p>
        </w:tc>
        <w:tc>
          <w:tcPr>
            <w:tcW w:w="1935" w:type="dxa"/>
            <w:tcBorders>
              <w:top w:val="nil"/>
              <w:left w:val="nil"/>
              <w:bottom w:val="single" w:sz="8" w:space="0" w:color="auto"/>
              <w:right w:val="single" w:sz="8" w:space="0" w:color="auto"/>
            </w:tcBorders>
            <w:tcMar>
              <w:top w:w="0" w:type="dxa"/>
              <w:left w:w="108" w:type="dxa"/>
              <w:bottom w:w="0" w:type="dxa"/>
              <w:right w:w="108" w:type="dxa"/>
            </w:tcMar>
            <w:hideMark/>
          </w:tcPr>
          <w:p>
            <w:pPr>
              <w:rPr>
                <w:szCs w:val="24"/>
                <w:lang w:eastAsia="lt-LT"/>
              </w:rPr>
            </w:pPr>
            <w:r>
              <w:rPr>
                <w:color w:val="000000"/>
                <w:sz w:val="20"/>
                <w:shd w:val="clear" w:color="auto" w:fill="FFFFFF"/>
                <w:lang w:eastAsia="lt-LT"/>
              </w:rPr>
              <w:t>LST EN ISO 14362-1 arba LST EN ISO 14362-3, arba lygiavertis bandymo metodas</w:t>
            </w:r>
          </w:p>
        </w:tc>
      </w:tr>
      <w:tr>
        <w:tc>
          <w:tcPr>
            <w:tcW w:w="24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pPr>
              <w:ind w:left="760" w:hanging="400"/>
              <w:rPr>
                <w:sz w:val="20"/>
                <w:lang w:eastAsia="lt-LT"/>
              </w:rPr>
            </w:pPr>
            <w:r>
              <w:rPr>
                <w:sz w:val="20"/>
                <w:lang w:eastAsia="lt-LT"/>
              </w:rPr>
              <w:t>2.</w:t>
              <w:tab/>
              <w:t>Formaldehidas</w:t>
            </w:r>
          </w:p>
          <w:p>
            <w:pPr>
              <w:rPr>
                <w:szCs w:val="24"/>
                <w:lang w:eastAsia="lt-LT"/>
              </w:rPr>
            </w:pPr>
          </w:p>
          <w:p>
            <w:pPr>
              <w:jc w:val="center"/>
              <w:rPr>
                <w:i/>
                <w:iCs/>
                <w:sz w:val="20"/>
                <w:lang w:eastAsia="lt-LT"/>
              </w:rPr>
            </w:pPr>
            <w:r>
              <w:rPr>
                <w:i/>
                <w:iCs/>
                <w:sz w:val="20"/>
                <w:lang w:eastAsia="lt-LT"/>
              </w:rPr>
              <w:t>Taikymo sritis:</w:t>
            </w:r>
          </w:p>
          <w:p>
            <w:pPr>
              <w:jc w:val="center"/>
              <w:rPr>
                <w:sz w:val="20"/>
                <w:lang w:eastAsia="lt-LT"/>
              </w:rPr>
            </w:pPr>
            <w:r>
              <w:rPr>
                <w:sz w:val="20"/>
                <w:lang w:eastAsia="lt-LT"/>
              </w:rPr>
              <w:t>visi drabužiai ir</w:t>
            </w:r>
          </w:p>
          <w:p>
            <w:pPr>
              <w:jc w:val="center"/>
              <w:rPr>
                <w:sz w:val="20"/>
                <w:lang w:eastAsia="lt-LT"/>
              </w:rPr>
            </w:pPr>
            <w:r>
              <w:rPr>
                <w:sz w:val="20"/>
                <w:lang w:eastAsia="lt-LT"/>
              </w:rPr>
              <w:t>interjero tekstilė,</w:t>
            </w:r>
          </w:p>
          <w:p>
            <w:pPr>
              <w:jc w:val="center"/>
              <w:rPr>
                <w:sz w:val="20"/>
                <w:lang w:eastAsia="lt-LT"/>
              </w:rPr>
            </w:pPr>
            <w:r>
              <w:rPr>
                <w:sz w:val="20"/>
                <w:lang w:eastAsia="lt-LT"/>
              </w:rPr>
              <w:t>kurių sudėtyje yra</w:t>
            </w:r>
          </w:p>
          <w:p>
            <w:pPr>
              <w:jc w:val="center"/>
              <w:rPr>
                <w:szCs w:val="24"/>
                <w:lang w:eastAsia="lt-LT"/>
              </w:rPr>
            </w:pPr>
            <w:r>
              <w:rPr>
                <w:sz w:val="20"/>
                <w:lang w:eastAsia="lt-LT"/>
              </w:rPr>
              <w:t>natūralių pluoštų</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pPr>
              <w:rPr>
                <w:szCs w:val="24"/>
                <w:lang w:eastAsia="lt-LT"/>
              </w:rPr>
            </w:pPr>
            <w:r>
              <w:rPr>
                <w:sz w:val="20"/>
                <w:lang w:eastAsia="lt-LT"/>
              </w:rPr>
              <w:t>Formaldehido likučiams galutiniame gaminyje taikomos ribinės vertės:</w:t>
            </w:r>
          </w:p>
          <w:p>
            <w:pPr>
              <w:ind w:left="720" w:hanging="360"/>
              <w:rPr>
                <w:szCs w:val="24"/>
                <w:lang w:eastAsia="lt-LT"/>
              </w:rPr>
            </w:pPr>
            <w:r>
              <w:rPr>
                <w:rFonts w:ascii="Calibri" w:hAnsi="Calibri" w:cs="Calibri"/>
                <w:sz w:val="20"/>
                <w:lang w:eastAsia="lt-LT"/>
              </w:rPr>
              <w:t>-       </w:t>
            </w:r>
            <w:r>
              <w:rPr>
                <w:sz w:val="20"/>
                <w:lang w:eastAsia="lt-LT"/>
              </w:rPr>
              <w:t>kūdikiams ir vaikams iki 3 metų</w:t>
            </w:r>
            <w:r>
              <w:rPr>
                <w:b/>
                <w:bCs/>
                <w:sz w:val="20"/>
                <w:lang w:eastAsia="lt-LT"/>
              </w:rPr>
              <w:t>;</w:t>
            </w:r>
          </w:p>
          <w:p>
            <w:pPr>
              <w:ind w:left="720" w:hanging="360"/>
              <w:rPr>
                <w:szCs w:val="24"/>
                <w:lang w:eastAsia="lt-LT"/>
              </w:rPr>
            </w:pPr>
            <w:r>
              <w:rPr>
                <w:rFonts w:ascii="Calibri" w:hAnsi="Calibri" w:cs="Calibri"/>
                <w:sz w:val="20"/>
                <w:lang w:eastAsia="lt-LT"/>
              </w:rPr>
              <w:t>-       </w:t>
            </w:r>
            <w:r>
              <w:rPr>
                <w:sz w:val="20"/>
                <w:lang w:eastAsia="lt-LT"/>
              </w:rPr>
              <w:t>visi kiti produktai</w:t>
            </w:r>
            <w:r>
              <w:rPr>
                <w:b/>
                <w:bCs/>
                <w:sz w:val="20"/>
                <w:lang w:eastAsia="lt-LT"/>
              </w:rPr>
              <w:t>.</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pPr>
              <w:rPr>
                <w:szCs w:val="24"/>
                <w:lang w:eastAsia="lt-LT"/>
              </w:rPr>
            </w:pPr>
            <w:r>
              <w:rPr>
                <w:sz w:val="20"/>
                <w:lang w:eastAsia="lt-LT"/>
              </w:rPr>
              <w:t>Vaikų (0–3 m.) drabužiams – ne daugiau kaip 16 ppm</w:t>
            </w:r>
          </w:p>
          <w:p>
            <w:pPr>
              <w:ind w:firstLine="53"/>
              <w:rPr>
                <w:szCs w:val="24"/>
                <w:lang w:eastAsia="lt-LT"/>
              </w:rPr>
            </w:pPr>
          </w:p>
          <w:p>
            <w:pPr>
              <w:rPr>
                <w:sz w:val="22"/>
                <w:szCs w:val="22"/>
                <w:lang w:eastAsia="lt-LT"/>
              </w:rPr>
            </w:pPr>
            <w:r>
              <w:rPr>
                <w:sz w:val="20"/>
                <w:lang w:eastAsia="lt-LT"/>
              </w:rPr>
              <w:t>Visi kiti produktai – ne daugiau kaip 75 ppm</w:t>
            </w:r>
          </w:p>
        </w:tc>
        <w:tc>
          <w:tcPr>
            <w:tcW w:w="1935" w:type="dxa"/>
            <w:tcBorders>
              <w:top w:val="nil"/>
              <w:left w:val="nil"/>
              <w:bottom w:val="single" w:sz="8" w:space="0" w:color="auto"/>
              <w:right w:val="single" w:sz="8" w:space="0" w:color="auto"/>
            </w:tcBorders>
            <w:tcMar>
              <w:top w:w="0" w:type="dxa"/>
              <w:left w:w="108" w:type="dxa"/>
              <w:bottom w:w="0" w:type="dxa"/>
              <w:right w:w="108" w:type="dxa"/>
            </w:tcMar>
            <w:hideMark/>
          </w:tcPr>
          <w:p>
            <w:pPr>
              <w:rPr>
                <w:szCs w:val="24"/>
                <w:lang w:eastAsia="lt-LT"/>
              </w:rPr>
            </w:pPr>
            <w:r>
              <w:rPr>
                <w:sz w:val="20"/>
                <w:lang w:eastAsia="lt-LT"/>
              </w:rPr>
              <w:t>LST EN ISO 14184-1 arba lygiavertis bandymo metodas</w:t>
            </w:r>
          </w:p>
        </w:tc>
      </w:tr>
      <w:tr>
        <w:trPr>
          <w:trHeight w:val="1054"/>
        </w:trPr>
        <w:tc>
          <w:tcPr>
            <w:tcW w:w="2475" w:type="dxa"/>
            <w:tcBorders>
              <w:top w:val="nil"/>
              <w:left w:val="single" w:sz="8" w:space="0" w:color="auto"/>
              <w:bottom w:val="nil"/>
              <w:right w:val="single" w:sz="8" w:space="0" w:color="auto"/>
            </w:tcBorders>
            <w:tcMar>
              <w:top w:w="0" w:type="dxa"/>
              <w:left w:w="108" w:type="dxa"/>
              <w:bottom w:w="0" w:type="dxa"/>
              <w:right w:w="108" w:type="dxa"/>
            </w:tcMar>
            <w:hideMark/>
          </w:tcPr>
          <w:p>
            <w:pPr>
              <w:ind w:left="720" w:hanging="360"/>
              <w:rPr>
                <w:szCs w:val="24"/>
                <w:lang w:eastAsia="lt-LT"/>
              </w:rPr>
            </w:pPr>
            <w:r>
              <w:rPr>
                <w:sz w:val="20"/>
                <w:lang w:eastAsia="lt-LT"/>
              </w:rPr>
              <w:t>3.     Pagalbinės medžiagos</w:t>
            </w:r>
          </w:p>
          <w:p>
            <w:pPr>
              <w:ind w:firstLine="53"/>
              <w:rPr>
                <w:sz w:val="20"/>
                <w:lang w:eastAsia="lt-LT"/>
              </w:rPr>
            </w:pPr>
          </w:p>
          <w:p>
            <w:pPr>
              <w:jc w:val="center"/>
              <w:rPr>
                <w:i/>
                <w:iCs/>
                <w:sz w:val="20"/>
                <w:lang w:eastAsia="lt-LT"/>
              </w:rPr>
            </w:pPr>
            <w:r>
              <w:rPr>
                <w:i/>
                <w:iCs/>
                <w:sz w:val="20"/>
                <w:lang w:eastAsia="lt-LT"/>
              </w:rPr>
              <w:t>Taikymo sritis:</w:t>
            </w:r>
          </w:p>
          <w:p>
            <w:pPr>
              <w:jc w:val="center"/>
              <w:rPr>
                <w:b/>
                <w:bCs/>
                <w:sz w:val="20"/>
                <w:lang w:eastAsia="lt-LT"/>
              </w:rPr>
            </w:pPr>
            <w:r>
              <w:rPr>
                <w:sz w:val="20"/>
                <w:lang w:eastAsia="lt-LT"/>
              </w:rPr>
              <w:t>visi tekstilės pluoštai</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pPr>
              <w:rPr>
                <w:szCs w:val="24"/>
                <w:lang w:eastAsia="lt-LT"/>
              </w:rPr>
            </w:pPr>
            <w:r>
              <w:rPr>
                <w:sz w:val="20"/>
                <w:lang w:eastAsia="lt-LT"/>
              </w:rPr>
              <w:t>Nurodytų medžiagų negali būti galutiniame gaminyje:</w:t>
            </w:r>
          </w:p>
          <w:p>
            <w:pPr>
              <w:ind w:left="720" w:hanging="360"/>
              <w:rPr>
                <w:szCs w:val="24"/>
                <w:lang w:eastAsia="lt-LT"/>
              </w:rPr>
            </w:pPr>
            <w:r>
              <w:rPr>
                <w:rFonts w:ascii="Calibri" w:hAnsi="Calibri" w:cs="Calibri"/>
                <w:sz w:val="20"/>
                <w:lang w:eastAsia="lt-LT"/>
              </w:rPr>
              <w:t>-       </w:t>
            </w:r>
            <w:r>
              <w:rPr>
                <w:sz w:val="20"/>
                <w:lang w:eastAsia="lt-LT"/>
              </w:rPr>
              <w:t>nonifenolio</w:t>
            </w:r>
          </w:p>
          <w:p>
            <w:pPr>
              <w:ind w:left="720" w:hanging="360"/>
              <w:rPr>
                <w:szCs w:val="24"/>
                <w:lang w:eastAsia="lt-LT"/>
              </w:rPr>
            </w:pPr>
            <w:r>
              <w:rPr>
                <w:rFonts w:ascii="Calibri" w:hAnsi="Calibri" w:cs="Calibri"/>
                <w:sz w:val="20"/>
                <w:lang w:eastAsia="lt-LT"/>
              </w:rPr>
              <w:t>-       </w:t>
            </w:r>
            <w:r>
              <w:rPr>
                <w:sz w:val="20"/>
                <w:lang w:eastAsia="lt-LT"/>
              </w:rPr>
              <w:t>oktifenolio</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pPr>
              <w:rPr>
                <w:szCs w:val="24"/>
                <w:lang w:eastAsia="lt-LT"/>
              </w:rPr>
            </w:pPr>
            <w:r>
              <w:rPr>
                <w:sz w:val="20"/>
                <w:lang w:eastAsia="lt-LT"/>
              </w:rPr>
              <w:t>Bendras kiekis  &lt; 100 mg/kg</w:t>
            </w:r>
          </w:p>
        </w:tc>
        <w:tc>
          <w:tcPr>
            <w:tcW w:w="1935" w:type="dxa"/>
            <w:tcBorders>
              <w:top w:val="nil"/>
              <w:left w:val="nil"/>
              <w:bottom w:val="single" w:sz="8" w:space="0" w:color="auto"/>
              <w:right w:val="single" w:sz="8" w:space="0" w:color="auto"/>
            </w:tcBorders>
            <w:tcMar>
              <w:top w:w="0" w:type="dxa"/>
              <w:left w:w="108" w:type="dxa"/>
              <w:bottom w:w="0" w:type="dxa"/>
              <w:right w:w="108" w:type="dxa"/>
            </w:tcMar>
            <w:hideMark/>
          </w:tcPr>
          <w:p>
            <w:pPr>
              <w:ind w:firstLine="53"/>
              <w:rPr>
                <w:szCs w:val="24"/>
                <w:lang w:eastAsia="lt-LT"/>
              </w:rPr>
            </w:pPr>
          </w:p>
        </w:tc>
      </w:tr>
      <w:tr>
        <w:trPr>
          <w:trHeight w:val="70"/>
        </w:trPr>
        <w:tc>
          <w:tcPr>
            <w:tcW w:w="24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pPr>
              <w:tabs>
                <w:tab w:val="center" w:pos="1308"/>
              </w:tabs>
              <w:rPr>
                <w:szCs w:val="24"/>
                <w:lang w:eastAsia="lt-LT"/>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pPr>
              <w:ind w:left="720" w:hanging="360"/>
              <w:rPr>
                <w:szCs w:val="24"/>
                <w:lang w:eastAsia="lt-LT"/>
              </w:rPr>
            </w:pPr>
            <w:r>
              <w:rPr>
                <w:rFonts w:ascii="Calibri" w:hAnsi="Calibri" w:cs="Calibri"/>
                <w:sz w:val="20"/>
                <w:lang w:eastAsia="lt-LT"/>
              </w:rPr>
              <w:t>-       </w:t>
            </w:r>
            <w:r>
              <w:rPr>
                <w:sz w:val="20"/>
                <w:lang w:eastAsia="lt-LT"/>
              </w:rPr>
              <w:t>nonilfenoletoksilatų</w:t>
            </w:r>
          </w:p>
          <w:p>
            <w:pPr>
              <w:ind w:left="720" w:hanging="360"/>
              <w:rPr>
                <w:szCs w:val="24"/>
                <w:lang w:eastAsia="lt-LT"/>
              </w:rPr>
            </w:pPr>
            <w:r>
              <w:rPr>
                <w:rFonts w:ascii="Calibri" w:hAnsi="Calibri" w:cs="Calibri"/>
                <w:sz w:val="20"/>
                <w:lang w:eastAsia="lt-LT"/>
              </w:rPr>
              <w:t>-       </w:t>
            </w:r>
            <w:r>
              <w:rPr>
                <w:sz w:val="20"/>
                <w:lang w:eastAsia="lt-LT"/>
              </w:rPr>
              <w:t>oktilfenolio etoksilatų</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pPr>
              <w:rPr>
                <w:szCs w:val="24"/>
                <w:lang w:eastAsia="lt-LT"/>
              </w:rPr>
            </w:pPr>
            <w:r>
              <w:rPr>
                <w:sz w:val="20"/>
                <w:lang w:eastAsia="lt-LT"/>
              </w:rPr>
              <w:t>Bendras kiekis  &lt; 100 mg/kg</w:t>
            </w:r>
          </w:p>
        </w:tc>
        <w:tc>
          <w:tcPr>
            <w:tcW w:w="1935" w:type="dxa"/>
            <w:tcBorders>
              <w:top w:val="nil"/>
              <w:left w:val="nil"/>
              <w:bottom w:val="single" w:sz="8" w:space="0" w:color="auto"/>
              <w:right w:val="single" w:sz="8" w:space="0" w:color="auto"/>
            </w:tcBorders>
            <w:tcMar>
              <w:top w:w="0" w:type="dxa"/>
              <w:left w:w="108" w:type="dxa"/>
              <w:bottom w:w="0" w:type="dxa"/>
              <w:right w:w="108" w:type="dxa"/>
            </w:tcMar>
            <w:hideMark/>
          </w:tcPr>
          <w:p>
            <w:pPr>
              <w:rPr>
                <w:szCs w:val="24"/>
                <w:lang w:eastAsia="lt-LT"/>
              </w:rPr>
            </w:pPr>
            <w:r>
              <w:rPr>
                <w:sz w:val="20"/>
                <w:lang w:eastAsia="lt-LT"/>
              </w:rPr>
              <w:t>ISO 18254-1 arba ISO 18254-2, arba lygiavertis bandymo metodas</w:t>
            </w:r>
          </w:p>
        </w:tc>
      </w:tr>
      <w:tr>
        <w:tc>
          <w:tcPr>
            <w:tcW w:w="24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pPr>
              <w:ind w:left="720" w:hanging="360"/>
              <w:rPr>
                <w:sz w:val="20"/>
                <w:lang w:eastAsia="lt-LT"/>
              </w:rPr>
            </w:pPr>
            <w:r>
              <w:rPr>
                <w:sz w:val="20"/>
                <w:lang w:eastAsia="lt-LT"/>
              </w:rPr>
              <w:t xml:space="preserve">4.     Dangos, laminatai ir membranos </w:t>
            </w:r>
          </w:p>
          <w:p>
            <w:pPr>
              <w:ind w:left="720" w:hanging="360"/>
              <w:rPr>
                <w:sz w:val="20"/>
                <w:lang w:eastAsia="lt-LT"/>
              </w:rPr>
            </w:pPr>
          </w:p>
          <w:p>
            <w:pPr>
              <w:ind w:left="29"/>
              <w:jc w:val="center"/>
              <w:rPr>
                <w:i/>
                <w:iCs/>
                <w:sz w:val="20"/>
                <w:lang w:eastAsia="lt-LT"/>
              </w:rPr>
            </w:pPr>
            <w:r>
              <w:rPr>
                <w:i/>
                <w:iCs/>
                <w:sz w:val="20"/>
                <w:lang w:eastAsia="lt-LT"/>
              </w:rPr>
              <w:t>Taikymo sritis:</w:t>
            </w:r>
          </w:p>
          <w:p>
            <w:pPr>
              <w:ind w:left="29"/>
              <w:jc w:val="center"/>
              <w:rPr>
                <w:b/>
                <w:bCs/>
                <w:sz w:val="20"/>
                <w:lang w:eastAsia="lt-LT"/>
              </w:rPr>
            </w:pPr>
            <w:r>
              <w:rPr>
                <w:sz w:val="20"/>
                <w:lang w:eastAsia="lt-LT"/>
              </w:rPr>
              <w:t>jei integruota į tekstilės pluoštų struktūrą</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pPr>
              <w:rPr>
                <w:szCs w:val="24"/>
                <w:lang w:eastAsia="lt-LT"/>
              </w:rPr>
            </w:pPr>
            <w:r>
              <w:rPr>
                <w:sz w:val="20"/>
                <w:lang w:eastAsia="lt-LT"/>
              </w:rPr>
              <w:t>Dangos, plastizolio raštų, laminatų, membranų ir plastiko priedų sudėtyje negali būti šių ftalatų:</w:t>
            </w:r>
          </w:p>
          <w:p>
            <w:pPr>
              <w:ind w:left="720" w:hanging="360"/>
              <w:rPr>
                <w:szCs w:val="24"/>
                <w:lang w:eastAsia="lt-LT"/>
              </w:rPr>
            </w:pPr>
            <w:r>
              <w:rPr>
                <w:rFonts w:ascii="Calibri" w:hAnsi="Calibri" w:cs="Calibri"/>
                <w:sz w:val="20"/>
                <w:lang w:eastAsia="lt-LT"/>
              </w:rPr>
              <w:t>-       </w:t>
            </w:r>
            <w:r>
              <w:rPr>
                <w:sz w:val="20"/>
                <w:lang w:eastAsia="lt-LT"/>
              </w:rPr>
              <w:t>DEHP (bis-(etiheksil)ftalato)</w:t>
            </w:r>
          </w:p>
          <w:p>
            <w:pPr>
              <w:ind w:left="720" w:hanging="360"/>
              <w:rPr>
                <w:szCs w:val="24"/>
                <w:lang w:eastAsia="lt-LT"/>
              </w:rPr>
            </w:pPr>
            <w:r>
              <w:rPr>
                <w:rFonts w:ascii="Calibri" w:hAnsi="Calibri" w:cs="Calibri"/>
                <w:sz w:val="20"/>
                <w:lang w:eastAsia="lt-LT"/>
              </w:rPr>
              <w:t>-       </w:t>
            </w:r>
            <w:r>
              <w:rPr>
                <w:sz w:val="20"/>
                <w:lang w:eastAsia="lt-LT"/>
              </w:rPr>
              <w:t>BBP (butilbenzilftalato)</w:t>
            </w:r>
          </w:p>
          <w:p>
            <w:pPr>
              <w:ind w:left="720" w:hanging="360"/>
              <w:rPr>
                <w:szCs w:val="24"/>
                <w:lang w:eastAsia="lt-LT"/>
              </w:rPr>
            </w:pPr>
            <w:r>
              <w:rPr>
                <w:rFonts w:ascii="Calibri" w:hAnsi="Calibri" w:cs="Calibri"/>
                <w:sz w:val="20"/>
                <w:lang w:eastAsia="lt-LT"/>
              </w:rPr>
              <w:t>-       </w:t>
            </w:r>
            <w:r>
              <w:rPr>
                <w:sz w:val="20"/>
                <w:lang w:eastAsia="lt-LT"/>
              </w:rPr>
              <w:t>DBP (dibutilftalato)</w:t>
            </w:r>
          </w:p>
          <w:p>
            <w:pPr>
              <w:ind w:left="720" w:hanging="360"/>
              <w:rPr>
                <w:szCs w:val="24"/>
                <w:lang w:eastAsia="lt-LT"/>
              </w:rPr>
            </w:pPr>
            <w:r>
              <w:rPr>
                <w:rFonts w:ascii="Calibri" w:hAnsi="Calibri" w:cs="Calibri"/>
                <w:sz w:val="20"/>
                <w:lang w:eastAsia="lt-LT"/>
              </w:rPr>
              <w:t>-       </w:t>
            </w:r>
            <w:r>
              <w:rPr>
                <w:sz w:val="20"/>
                <w:lang w:eastAsia="lt-LT"/>
              </w:rPr>
              <w:t>DMEP (bis-2-metoksietilftalato)</w:t>
            </w:r>
          </w:p>
          <w:p>
            <w:pPr>
              <w:ind w:left="720" w:hanging="360"/>
              <w:rPr>
                <w:szCs w:val="24"/>
                <w:lang w:eastAsia="lt-LT"/>
              </w:rPr>
            </w:pPr>
            <w:r>
              <w:rPr>
                <w:rFonts w:ascii="Calibri" w:hAnsi="Calibri" w:cs="Calibri"/>
                <w:sz w:val="20"/>
                <w:lang w:eastAsia="lt-LT"/>
              </w:rPr>
              <w:t>-       </w:t>
            </w:r>
            <w:r>
              <w:rPr>
                <w:sz w:val="20"/>
                <w:lang w:eastAsia="lt-LT"/>
              </w:rPr>
              <w:t>DIBP (diizobutilftalato)</w:t>
            </w:r>
          </w:p>
          <w:p>
            <w:pPr>
              <w:ind w:left="720" w:hanging="360"/>
              <w:rPr>
                <w:szCs w:val="24"/>
                <w:lang w:eastAsia="lt-LT"/>
              </w:rPr>
            </w:pPr>
            <w:r>
              <w:rPr>
                <w:rFonts w:ascii="Calibri" w:hAnsi="Calibri" w:cs="Calibri"/>
                <w:sz w:val="20"/>
                <w:lang w:eastAsia="lt-LT"/>
              </w:rPr>
              <w:t>-       </w:t>
            </w:r>
            <w:r>
              <w:rPr>
                <w:sz w:val="20"/>
                <w:lang w:eastAsia="lt-LT"/>
              </w:rPr>
              <w:t>DIHP (Di-C6-8 šakotųjų alkiftalatų)</w:t>
            </w:r>
          </w:p>
          <w:p>
            <w:pPr>
              <w:ind w:left="720" w:hanging="360"/>
              <w:rPr>
                <w:szCs w:val="24"/>
                <w:lang w:eastAsia="lt-LT"/>
              </w:rPr>
            </w:pPr>
            <w:r>
              <w:rPr>
                <w:rFonts w:ascii="Calibri" w:hAnsi="Calibri" w:cs="Calibri"/>
                <w:sz w:val="20"/>
                <w:lang w:eastAsia="lt-LT"/>
              </w:rPr>
              <w:t>-       </w:t>
            </w:r>
            <w:r>
              <w:rPr>
                <w:sz w:val="20"/>
                <w:lang w:eastAsia="lt-LT"/>
              </w:rPr>
              <w:t>DHNUP (Di-C7-11 šakotųjų alkilftalatų)</w:t>
            </w:r>
          </w:p>
          <w:p>
            <w:pPr>
              <w:ind w:left="720" w:hanging="360"/>
              <w:rPr>
                <w:szCs w:val="24"/>
                <w:lang w:eastAsia="lt-LT"/>
              </w:rPr>
            </w:pPr>
            <w:r>
              <w:rPr>
                <w:rFonts w:ascii="Calibri" w:hAnsi="Calibri" w:cs="Calibri"/>
                <w:sz w:val="20"/>
                <w:lang w:eastAsia="lt-LT"/>
              </w:rPr>
              <w:t>-       </w:t>
            </w:r>
            <w:r>
              <w:rPr>
                <w:sz w:val="20"/>
                <w:lang w:eastAsia="lt-LT"/>
              </w:rPr>
              <w:t>DHP (di-n-heksilftalatų)</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pPr>
              <w:rPr>
                <w:szCs w:val="24"/>
                <w:lang w:eastAsia="lt-LT"/>
              </w:rPr>
            </w:pPr>
            <w:r>
              <w:rPr>
                <w:sz w:val="20"/>
                <w:lang w:eastAsia="lt-LT"/>
              </w:rPr>
              <w:t>Bendras kiekis ne daugiau kaip 0,10 proc. bendro produkto masės</w:t>
            </w:r>
          </w:p>
        </w:tc>
        <w:tc>
          <w:tcPr>
            <w:tcW w:w="1935" w:type="dxa"/>
            <w:tcBorders>
              <w:top w:val="nil"/>
              <w:left w:val="nil"/>
              <w:bottom w:val="single" w:sz="8" w:space="0" w:color="auto"/>
              <w:right w:val="single" w:sz="8" w:space="0" w:color="auto"/>
            </w:tcBorders>
            <w:tcMar>
              <w:top w:w="0" w:type="dxa"/>
              <w:left w:w="108" w:type="dxa"/>
              <w:bottom w:w="0" w:type="dxa"/>
              <w:right w:w="108" w:type="dxa"/>
            </w:tcMar>
            <w:hideMark/>
          </w:tcPr>
          <w:p>
            <w:pPr>
              <w:rPr>
                <w:sz w:val="22"/>
                <w:szCs w:val="22"/>
              </w:rPr>
            </w:pPr>
            <w:r>
              <w:rPr>
                <w:sz w:val="20"/>
                <w:lang w:eastAsia="lt-LT"/>
              </w:rPr>
              <w:t>LST EN ISO 14389 arba lygiavertis bandymo metodas</w:t>
            </w:r>
            <w:r>
              <w:rPr>
                <w:sz w:val="22"/>
                <w:szCs w:val="22"/>
              </w:rPr>
              <w:t>.</w:t>
            </w:r>
          </w:p>
          <w:p>
            <w:pPr>
              <w:rPr>
                <w:sz w:val="20"/>
                <w:lang w:eastAsia="lt-LT"/>
              </w:rPr>
            </w:pPr>
          </w:p>
        </w:tc>
      </w:tr>
    </w:tbl>
    <w:p>
      <w:pPr>
        <w:suppressAutoHyphens/>
        <w:ind w:firstLine="851"/>
        <w:jc w:val="both"/>
      </w:pPr>
      <w:r>
        <w:rPr>
          <w:szCs w:val="24"/>
        </w:rPr>
        <w:t>Atitiktį reikalavimams įrodantys dokumentai: (9.1.1</w:t>
      </w:r>
      <w:r>
        <w:rPr>
          <w:szCs w:val="24"/>
          <w:lang w:eastAsia="lt-LT"/>
        </w:rPr>
        <w:t xml:space="preserve"> ir </w:t>
      </w:r>
      <w:r>
        <w:rPr>
          <w:szCs w:val="24"/>
        </w:rPr>
        <w:t xml:space="preserve">9.1.2 papunkčiams) bandymų ataskaita, pripažintos įstaigos arba paskelbtosios (notifikuotos) institucijos atlikto bandymo protokolas, </w:t>
      </w:r>
      <w:r>
        <w:rPr>
          <w:i/>
          <w:iCs/>
          <w:szCs w:val="24"/>
        </w:rPr>
        <w:t>EU Ecolabel</w:t>
      </w:r>
      <w:r>
        <w:rPr>
          <w:szCs w:val="24"/>
        </w:rPr>
        <w:t xml:space="preserve"> arba kitas I tipo ekologinis ženklas, atitinkantis standartą LST EN ISO 14024 „Aplinkosauginiai ženklai ir aplinkosauginės deklaracijos. I tipo aplinkosauginis ženklinimas. Principai ir procedūros“, </w:t>
      </w:r>
      <w:r>
        <w:rPr>
          <w:i/>
          <w:iCs/>
          <w:szCs w:val="24"/>
        </w:rPr>
        <w:t>OEKO-TEX</w:t>
      </w:r>
      <w:r>
        <w:rPr>
          <w:i/>
          <w:iCs/>
          <w:szCs w:val="24"/>
          <w:vertAlign w:val="superscript"/>
        </w:rPr>
        <w:t>®</w:t>
      </w:r>
      <w:r>
        <w:rPr>
          <w:i/>
          <w:iCs/>
          <w:szCs w:val="24"/>
        </w:rPr>
        <w:t xml:space="preserve"> STANDARD 100</w:t>
      </w:r>
      <w:r>
        <w:rPr>
          <w:szCs w:val="24"/>
        </w:rPr>
        <w:t xml:space="preserve"> sertifikatas arba kitas lygiavertis įrodymas.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92cde9195f411efa605b9842742bf37">
        <w:r w:rsidRPr="00532B9F">
          <w:rPr>
            <w:rFonts w:ascii="Times New Roman" w:eastAsia="MS Mincho" w:hAnsi="Times New Roman"/>
            <w:sz w:val="20"/>
            <w:i/>
            <w:iCs/>
            <w:color w:val="0000FF" w:themeColor="hyperlink"/>
            <w:u w:val="single"/>
          </w:rPr>
          <w:t>D1-367</w:t>
        </w:r>
      </w:fldSimple>
      <w:r>
        <w:rPr>
          <w:rFonts w:ascii="Times New Roman" w:eastAsia="MS Mincho" w:hAnsi="Times New Roman"/>
          <w:sz w:val="20"/>
          <w:i/>
          <w:iCs/>
        </w:rPr>
        <w:t>,
2024-10-29,
paskelbta TAR 2024-10-29, i. k. 2024-18741            </w:t>
      </w:r>
    </w:p>
    <w:p/>
    <w:p>
      <w:pPr>
        <w:suppressAutoHyphens/>
        <w:ind w:firstLine="851"/>
        <w:jc w:val="both"/>
      </w:pPr>
      <w:r>
        <w:t>9.2</w:t>
      </w:r>
      <w:r>
        <w:t>. minimalūs aplinkos apsaugos kriterijai taikomi tekstilės gaminiams, kuriuose:</w:t>
      </w:r>
      <w:r>
        <w:rPr>
          <w:lang w:eastAsia="lt-LT"/>
        </w:rPr>
        <w:tab/>
      </w:r>
      <w:r>
        <w:t xml:space="preserve">  </w:t>
      </w:r>
    </w:p>
    <w:p>
      <w:pPr>
        <w:suppressAutoHyphens/>
        <w:ind w:firstLine="851"/>
        <w:jc w:val="both"/>
        <w:rPr>
          <w:color w:val="000000"/>
          <w:lang w:eastAsia="lt-LT"/>
        </w:rPr>
      </w:pPr>
      <w:r>
        <w:rPr>
          <w:color w:val="000000"/>
          <w:szCs w:val="24"/>
          <w:lang w:eastAsia="lt-LT"/>
        </w:rPr>
        <w:t>9.2.1</w:t>
      </w:r>
      <w:r>
        <w:rPr>
          <w:color w:val="000000"/>
          <w:szCs w:val="24"/>
          <w:lang w:eastAsia="lt-LT"/>
        </w:rPr>
        <w:t xml:space="preserve">. </w:t>
      </w:r>
      <w:r>
        <w:rPr>
          <w:color w:val="000000"/>
          <w:lang w:eastAsia="lt-LT"/>
        </w:rPr>
        <w:t>naudojamas poliesterio pluoštas turi būti 100 proc. pagamintas iš perdirbtų atliekų;</w:t>
      </w:r>
    </w:p>
    <w:p>
      <w:pPr>
        <w:suppressAutoHyphens/>
        <w:ind w:firstLine="851"/>
        <w:jc w:val="both"/>
        <w:rPr>
          <w:szCs w:val="24"/>
        </w:rPr>
      </w:pPr>
      <w:r>
        <w:t>9.2.2</w:t>
      </w:r>
      <w:r>
        <w:t>. naudojamas m</w:t>
      </w:r>
      <w:r>
        <w:rPr>
          <w:szCs w:val="24"/>
        </w:rPr>
        <w:t>edvilnės pluoštas turi atitikti bent vieną iš šių minimalių aplinkos apsaugos kriterijų:</w:t>
      </w:r>
    </w:p>
    <w:p>
      <w:pPr>
        <w:suppressAutoHyphens/>
        <w:ind w:firstLine="851"/>
        <w:jc w:val="both"/>
      </w:pPr>
      <w:r>
        <w:rPr>
          <w:szCs w:val="24"/>
        </w:rPr>
        <w:t>9.2.2.1</w:t>
      </w:r>
      <w:r>
        <w:rPr>
          <w:szCs w:val="24"/>
        </w:rPr>
        <w:t xml:space="preserve">. sudarytas iš ne mažiau kaip 20 proc. organiškai išgautos medvilnės pagal nustatytus reikalavimus </w:t>
      </w:r>
      <w:r>
        <w:rPr>
          <w:szCs w:val="24"/>
          <w:lang w:eastAsia="lt-LT"/>
        </w:rPr>
        <w:t>2007 m. birželio 28 d. Tarybos reglamentu (EB) Nr. 834/2007 dėl ekologinės gamybos ir ekologiškų produktų ženklinimo ir panaikinantis Reglamentą (EEB) Nr. 2092/91</w:t>
      </w:r>
      <w:r>
        <w:t>;</w:t>
      </w:r>
    </w:p>
    <w:p>
      <w:pPr>
        <w:suppressAutoHyphens/>
        <w:ind w:firstLine="851"/>
        <w:jc w:val="both"/>
      </w:pPr>
      <w:r>
        <w:t>9.2.2.2</w:t>
      </w:r>
      <w:r>
        <w:t>. sudarytas iš ne mažiau kaip 10 proc. perdirbtos medvilnės pluošto</w:t>
      </w:r>
    </w:p>
    <w:p>
      <w:pPr>
        <w:pStyle w:val="PlainText"/>
        <w:ind w:firstLine="567"/>
        <w:jc w:val="both"/>
        <w:rPr>
          <w:rFonts w:ascii="Times New Roman" w:hAnsi="Times New Roman"/>
          <w:b/>
          <w:bCs/>
          <w:sz w:val="22"/>
        </w:rPr>
      </w:pPr>
      <w:r>
        <w:rPr>
          <w:rFonts w:ascii="Times New Roman" w:hAnsi="Times New Roman"/>
          <w:sz w:val="22"/>
        </w:rPr>
        <w:t>9.2.2.3</w:t>
      </w:r>
      <w:r>
        <w:rPr>
          <w:rFonts w:ascii="Times New Roman" w:hAnsi="Times New Roman"/>
          <w:sz w:val="22"/>
        </w:rPr>
        <w:t>.</w:t>
      </w:r>
      <w:r>
        <w:rPr>
          <w:rFonts w:ascii="Times New Roman" w:eastAsia="MS Mincho" w:hAnsi="Times New Roman"/>
          <w:sz w:val="20"/>
          <w:i/>
          <w:iCs/>
        </w:rPr>
        <w:t xml:space="preserve"> Neteko galios nuo 2024-11-01</w:t>
      </w:r>
    </w:p>
    <w:p>
      <w:pPr>
        <w:pStyle w:val="PlainText"/>
        <w:rPr>
          <w:rFonts w:ascii="Times New Roman" w:eastAsia="MS Mincho" w:hAnsi="Times New Roman"/>
          <w:sz w:val="20"/>
          <w:i/>
          <w:iCs/>
        </w:rPr>
      </w:pPr>
      <w:r>
        <w:rPr>
          <w:rFonts w:ascii="Times New Roman" w:eastAsia="MS Mincho" w:hAnsi="Times New Roman"/>
          <w:sz w:val="20"/>
          <w:i/>
          <w:iCs/>
        </w:rPr>
        <w:t>Papunkčio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92cde9195f411efa605b9842742bf37">
        <w:r w:rsidRPr="00532B9F">
          <w:rPr>
            <w:rFonts w:ascii="Times New Roman" w:eastAsia="MS Mincho" w:hAnsi="Times New Roman"/>
            <w:sz w:val="20"/>
            <w:i/>
            <w:iCs/>
            <w:color w:val="0000FF" w:themeColor="hyperlink"/>
            <w:u w:val="single"/>
          </w:rPr>
          <w:t>D1-367</w:t>
        </w:r>
      </w:fldSimple>
      <w:r>
        <w:rPr>
          <w:rFonts w:ascii="Times New Roman" w:eastAsia="MS Mincho" w:hAnsi="Times New Roman"/>
          <w:sz w:val="20"/>
          <w:i/>
          <w:iCs/>
        </w:rPr>
        <w:t>,
2024-10-29,
paskelbta TAR 2024-10-29, i. k. 2024-18741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keepNext/>
        <w:keepLines/>
        <w:jc w:val="center"/>
        <w:rPr>
          <w:b/>
          <w:bCs/>
          <w:szCs w:val="24"/>
        </w:rPr>
      </w:pPr>
      <w:r>
        <w:rPr>
          <w:b/>
          <w:bCs/>
          <w:szCs w:val="24"/>
        </w:rPr>
        <w:t>X</w:t>
      </w:r>
      <w:r>
        <w:rPr>
          <w:b/>
          <w:bCs/>
          <w:szCs w:val="24"/>
        </w:rPr>
        <w:t xml:space="preserve"> SKYRIUS</w:t>
      </w:r>
    </w:p>
    <w:p>
      <w:pPr>
        <w:keepNext/>
        <w:keepLines/>
        <w:jc w:val="center"/>
        <w:rPr>
          <w:b/>
        </w:rPr>
      </w:pPr>
      <w:r>
        <w:rPr>
          <w:b/>
        </w:rPr>
        <w:t>M IR N KATEGORIJŲ KELIŲ TRANSPORTO PRIEMONĖS</w:t>
      </w:r>
    </w:p>
    <w:p>
      <w:pPr>
        <w:keepNext/>
        <w:keepLines/>
        <w:ind w:firstLine="851"/>
        <w:jc w:val="both"/>
        <w:rPr>
          <w:b/>
          <w:bCs/>
          <w:szCs w:val="24"/>
        </w:rPr>
      </w:pPr>
    </w:p>
    <w:p>
      <w:pPr>
        <w:ind w:firstLine="851"/>
        <w:jc w:val="both"/>
        <w:rPr>
          <w:lang w:eastAsia="en-GB"/>
        </w:rPr>
      </w:pPr>
      <w:r>
        <w:rPr>
          <w:lang w:eastAsia="en-GB"/>
        </w:rPr>
        <w:t>10</w:t>
      </w:r>
      <w:r>
        <w:rPr>
          <w:lang w:eastAsia="en-GB"/>
        </w:rPr>
        <w:t>. M</w:t>
      </w:r>
      <w:r>
        <w:rPr>
          <w:vertAlign w:val="subscript"/>
          <w:lang w:eastAsia="en-GB"/>
        </w:rPr>
        <w:t>1</w:t>
      </w:r>
      <w:r>
        <w:rPr>
          <w:lang w:eastAsia="en-GB"/>
        </w:rPr>
        <w:t>, M</w:t>
      </w:r>
      <w:r>
        <w:rPr>
          <w:vertAlign w:val="subscript"/>
          <w:lang w:eastAsia="en-GB"/>
        </w:rPr>
        <w:t>2</w:t>
      </w:r>
      <w:r>
        <w:rPr>
          <w:lang w:eastAsia="en-GB"/>
        </w:rPr>
        <w:t xml:space="preserve"> ir N</w:t>
      </w:r>
      <w:r>
        <w:rPr>
          <w:vertAlign w:val="subscript"/>
          <w:lang w:eastAsia="en-GB"/>
        </w:rPr>
        <w:t>1</w:t>
      </w:r>
      <w:r>
        <w:rPr>
          <w:lang w:eastAsia="en-GB"/>
        </w:rPr>
        <w:t xml:space="preserve"> kategorijų transporto priemonių įsigijimas, nuoma </w:t>
      </w:r>
      <w:r>
        <w:t>arba finansinė nuoma (lizingas)</w:t>
      </w:r>
      <w:r>
        <w:rPr>
          <w:lang w:eastAsia="en-GB"/>
        </w:rPr>
        <w:t>:</w:t>
      </w:r>
    </w:p>
    <w:p>
      <w:pPr>
        <w:ind w:firstLine="851"/>
        <w:jc w:val="both"/>
        <w:textAlignment w:val="baseline"/>
        <w:rPr>
          <w:rFonts w:ascii="Calibri" w:hAnsi="Calibri" w:cs="Calibri"/>
          <w:color w:val="000000"/>
          <w:sz w:val="22"/>
          <w:szCs w:val="22"/>
          <w:lang w:eastAsia="lt-LT"/>
        </w:rPr>
      </w:pPr>
      <w:r>
        <w:rPr>
          <w:color w:val="000000"/>
          <w:szCs w:val="24"/>
          <w:bdr w:val="none" w:sz="0" w:space="0" w:color="auto" w:frame="1"/>
          <w:shd w:val="clear" w:color="auto" w:fill="FFFFFF"/>
          <w:lang w:eastAsia="lt-LT"/>
        </w:rPr>
        <w:t>10.1</w:t>
      </w:r>
      <w:r>
        <w:rPr>
          <w:color w:val="000000"/>
          <w:szCs w:val="24"/>
          <w:bdr w:val="none" w:sz="0" w:space="0" w:color="auto" w:frame="1"/>
          <w:shd w:val="clear" w:color="auto" w:fill="FFFFFF"/>
          <w:lang w:eastAsia="lt-LT"/>
        </w:rPr>
        <w:t xml:space="preserve">. transporto priemonė </w:t>
      </w:r>
      <w:r>
        <w:rPr>
          <w:lang w:eastAsia="lt-LT"/>
        </w:rPr>
        <w:t>turi atitikti bent vieną iš šių minimalių aplinkos apsaugos kriterijų</w:t>
      </w:r>
      <w:r>
        <w:rPr>
          <w:color w:val="000000"/>
          <w:szCs w:val="24"/>
          <w:bdr w:val="none" w:sz="0" w:space="0" w:color="auto" w:frame="1"/>
          <w:shd w:val="clear" w:color="auto" w:fill="FFFFFF"/>
          <w:lang w:eastAsia="lt-LT"/>
        </w:rPr>
        <w:t>:</w:t>
      </w:r>
    </w:p>
    <w:p>
      <w:pPr>
        <w:ind w:firstLine="851"/>
        <w:jc w:val="both"/>
        <w:textAlignment w:val="baseline"/>
        <w:rPr>
          <w:color w:val="000000"/>
          <w:szCs w:val="24"/>
          <w:bdr w:val="none" w:sz="0" w:space="0" w:color="auto" w:frame="1"/>
          <w:shd w:val="clear" w:color="auto" w:fill="FFFFFF"/>
          <w:lang w:eastAsia="lt-LT"/>
        </w:rPr>
      </w:pPr>
      <w:r>
        <w:rPr>
          <w:color w:val="000000"/>
          <w:szCs w:val="24"/>
          <w:bdr w:val="none" w:sz="0" w:space="0" w:color="auto" w:frame="1"/>
          <w:shd w:val="clear" w:color="auto" w:fill="FFFFFF"/>
          <w:lang w:eastAsia="lt-LT"/>
        </w:rPr>
        <w:t>10.1.1</w:t>
      </w:r>
      <w:r>
        <w:rPr>
          <w:color w:val="000000"/>
          <w:szCs w:val="24"/>
          <w:bdr w:val="none" w:sz="0" w:space="0" w:color="auto" w:frame="1"/>
          <w:shd w:val="clear" w:color="auto" w:fill="FFFFFF"/>
          <w:lang w:eastAsia="lt-LT"/>
        </w:rPr>
        <w:t xml:space="preserve">. atliekant pirkimus </w:t>
      </w:r>
      <w:r>
        <w:rPr>
          <w:szCs w:val="24"/>
          <w:bdr w:val="none" w:sz="0" w:space="0" w:color="auto" w:frame="1"/>
          <w:shd w:val="clear" w:color="auto" w:fill="FFFFFF"/>
          <w:lang w:eastAsia="lt-LT"/>
        </w:rPr>
        <w:t xml:space="preserve">Lietuvos Respublikos </w:t>
      </w:r>
      <w:r>
        <w:rPr>
          <w:color w:val="000000"/>
          <w:szCs w:val="24"/>
          <w:bdr w:val="none" w:sz="0" w:space="0" w:color="auto" w:frame="1"/>
          <w:shd w:val="clear" w:color="auto" w:fill="FFFFFF"/>
          <w:lang w:eastAsia="lt-LT"/>
        </w:rPr>
        <w:t>alternatyviųjų degalų įstatymo 15 straipsnio 1 dalyje nustatytais atvejais ir atsižvelgiant į šio įstatymo 15 straipsnio 3, 4 ir 5 dalyse pirkimams nustatytus reikalavimus, perkama transporto priemonė suprantama kaip apibrėžta Alternatyviųjų degalų įstatymo 2 straipsnio 23 ir (ar) 36 dalyse, išskyrus šio įstatymo 15 straipsnio 7 dalyje nurodytas transporto priemones;</w:t>
      </w:r>
    </w:p>
    <w:p>
      <w:pPr>
        <w:ind w:firstLine="851"/>
        <w:jc w:val="both"/>
        <w:textAlignment w:val="baseline"/>
        <w:rPr>
          <w:rFonts w:ascii="Calibri" w:hAnsi="Calibri" w:cs="Calibri"/>
          <w:color w:val="000000"/>
          <w:sz w:val="22"/>
          <w:szCs w:val="22"/>
          <w:lang w:eastAsia="lt-LT"/>
        </w:rPr>
      </w:pPr>
      <w:r>
        <w:rPr>
          <w:color w:val="000000"/>
          <w:szCs w:val="24"/>
          <w:bdr w:val="none" w:sz="0" w:space="0" w:color="auto" w:frame="1"/>
          <w:shd w:val="clear" w:color="auto" w:fill="FFFFFF"/>
          <w:lang w:eastAsia="lt-LT"/>
        </w:rPr>
        <w:t>10.1.2</w:t>
      </w:r>
      <w:r>
        <w:rPr>
          <w:szCs w:val="24"/>
          <w:bdr w:val="none" w:sz="0" w:space="0" w:color="auto" w:frame="1"/>
          <w:shd w:val="clear" w:color="auto" w:fill="FFFFFF"/>
          <w:lang w:eastAsia="lt-LT"/>
        </w:rPr>
        <w:t>. kitais pirkimų atvejais transporto priemonė turi atitikti 10.1.1 papunkčio reikalavimus arba </w:t>
      </w:r>
      <w:r>
        <w:rPr>
          <w:color w:val="000000"/>
          <w:szCs w:val="24"/>
          <w:bdr w:val="none" w:sz="0" w:space="0" w:color="auto" w:frame="1"/>
          <w:shd w:val="clear" w:color="auto" w:fill="FFFFFF"/>
          <w:lang w:eastAsia="lt-LT"/>
        </w:rPr>
        <w:t xml:space="preserve">šiuos </w:t>
      </w:r>
      <w:r>
        <w:rPr>
          <w:szCs w:val="24"/>
          <w:bdr w:val="none" w:sz="0" w:space="0" w:color="auto" w:frame="1"/>
          <w:shd w:val="clear" w:color="auto" w:fill="FFFFFF"/>
          <w:lang w:eastAsia="lt-LT"/>
        </w:rPr>
        <w:t xml:space="preserve">reikalavimus, </w:t>
      </w:r>
      <w:r>
        <w:rPr>
          <w:color w:val="000000"/>
          <w:szCs w:val="24"/>
          <w:bdr w:val="none" w:sz="0" w:space="0" w:color="auto" w:frame="1"/>
          <w:shd w:val="clear" w:color="auto" w:fill="FFFFFF"/>
          <w:lang w:eastAsia="lt-LT"/>
        </w:rPr>
        <w:t>išskyrus Alternatyviųjų degalų įstatymo 15 straipsnio 7 dalyje nurodytas transporto priemones</w:t>
      </w:r>
      <w:r>
        <w:rPr>
          <w:szCs w:val="24"/>
          <w:bdr w:val="none" w:sz="0" w:space="0" w:color="auto" w:frame="1"/>
          <w:shd w:val="clear" w:color="auto" w:fill="FFFFFF"/>
          <w:lang w:eastAsia="lt-LT"/>
        </w:rPr>
        <w:t>:</w:t>
      </w:r>
    </w:p>
    <w:p>
      <w:pPr>
        <w:ind w:firstLine="851"/>
        <w:jc w:val="both"/>
        <w:rPr>
          <w:szCs w:val="24"/>
          <w:lang w:eastAsia="lt-LT"/>
        </w:rPr>
      </w:pPr>
      <w:r>
        <w:rPr>
          <w:color w:val="000000"/>
          <w:lang w:eastAsia="lt-LT"/>
        </w:rPr>
        <w:t>10.1.2.1</w:t>
      </w:r>
      <w:r>
        <w:rPr>
          <w:color w:val="000000"/>
          <w:lang w:eastAsia="lt-LT"/>
        </w:rPr>
        <w:t>. </w:t>
      </w:r>
      <w:r>
        <w:rPr>
          <w:lang w:eastAsia="lt-LT"/>
        </w:rPr>
        <w:t>transporto priemonės išmetamas anglies dioksido (CO</w:t>
      </w:r>
      <w:r>
        <w:rPr>
          <w:vertAlign w:val="subscript"/>
          <w:lang w:eastAsia="lt-LT"/>
        </w:rPr>
        <w:t>2</w:t>
      </w:r>
      <w:r>
        <w:rPr>
          <w:lang w:eastAsia="lt-LT"/>
        </w:rPr>
        <w:t>) kiekis, išmatuotas pagal 2007 m. birželio 20 d. Europos Parlamento ir Tarybos reglamentą (EB) Nr. 715/2007 dėl variklinių transporto priemonių tipo patvirtinimo, atsižvelgiant į išmetamųjų teršalų kiekį iš lengvųjų keleivinių ir komercinių transporto priemonių („Euro 5“ ir „Euro 6“) su visais pakeitimais (toliau – Reglamentas (EB) Nr. 715/2007) ir jo įgyvendinimo priemonėmis, M</w:t>
      </w:r>
      <w:r>
        <w:rPr>
          <w:vertAlign w:val="subscript"/>
          <w:lang w:eastAsia="lt-LT"/>
        </w:rPr>
        <w:t>1</w:t>
      </w:r>
      <w:r>
        <w:rPr>
          <w:lang w:eastAsia="lt-LT"/>
        </w:rPr>
        <w:t xml:space="preserve"> kategorijos transporto priemonėms neturi viršyti 95 g/km, M</w:t>
      </w:r>
      <w:r>
        <w:rPr>
          <w:vertAlign w:val="subscript"/>
          <w:lang w:eastAsia="lt-LT"/>
        </w:rPr>
        <w:t>2</w:t>
      </w:r>
      <w:r>
        <w:rPr>
          <w:lang w:eastAsia="lt-LT"/>
        </w:rPr>
        <w:t xml:space="preserve"> ir N</w:t>
      </w:r>
      <w:r>
        <w:rPr>
          <w:vertAlign w:val="subscript"/>
          <w:lang w:eastAsia="lt-LT"/>
        </w:rPr>
        <w:t>1</w:t>
      </w:r>
      <w:r>
        <w:rPr>
          <w:lang w:eastAsia="lt-LT"/>
        </w:rPr>
        <w:t xml:space="preserve"> kategorijos transporto priemonėms neturi viršyti 147 g/km;</w:t>
      </w:r>
    </w:p>
    <w:p>
      <w:pPr>
        <w:ind w:firstLine="851"/>
        <w:jc w:val="both"/>
        <w:rPr>
          <w:szCs w:val="24"/>
          <w:lang w:eastAsia="en-GB"/>
        </w:rPr>
      </w:pPr>
      <w:r>
        <w:rPr>
          <w:bCs/>
          <w:szCs w:val="24"/>
          <w:lang w:eastAsia="lt-LT"/>
        </w:rPr>
        <w:t>10.1.2.2</w:t>
      </w:r>
      <w:r>
        <w:rPr>
          <w:bCs/>
          <w:szCs w:val="24"/>
          <w:lang w:eastAsia="lt-LT"/>
        </w:rPr>
        <w:t xml:space="preserve">. </w:t>
      </w:r>
      <w:r>
        <w:rPr>
          <w:bCs/>
          <w:szCs w:val="24"/>
          <w:lang w:eastAsia="en-GB"/>
        </w:rPr>
        <w:t>realiomis važiavimo sąlygomis transporto priemonės išmetamų</w:t>
      </w:r>
      <w:r>
        <w:rPr>
          <w:szCs w:val="24"/>
          <w:lang w:eastAsia="en-GB"/>
        </w:rPr>
        <w:t xml:space="preserve"> teršalų kiekis neviršija 80 procentų ribinės vertės (neatsižvelgiant į taikomą atitikties faktorių ir (ar) matavimo metodo paklaidą), nustatytos Reglamente </w:t>
      </w:r>
      <w:r>
        <w:rPr>
          <w:szCs w:val="24"/>
          <w:lang w:eastAsia="lt-LT"/>
        </w:rPr>
        <w:t xml:space="preserve">(EB) Nr. </w:t>
      </w:r>
      <w:r>
        <w:rPr>
          <w:szCs w:val="24"/>
          <w:lang w:eastAsia="en-GB"/>
        </w:rPr>
        <w:t>715/2007.</w:t>
      </w:r>
    </w:p>
    <w:p>
      <w:pPr>
        <w:ind w:firstLine="851"/>
        <w:jc w:val="both"/>
        <w:rPr>
          <w:b/>
          <w:bCs/>
          <w:lang w:eastAsia="en-GB"/>
        </w:rPr>
      </w:pPr>
    </w:p>
    <w:p>
      <w:pPr>
        <w:ind w:firstLine="851"/>
        <w:jc w:val="both"/>
        <w:rPr>
          <w:sz w:val="27"/>
          <w:szCs w:val="27"/>
          <w:lang w:eastAsia="en-GB"/>
        </w:rPr>
      </w:pPr>
      <w:r>
        <w:rPr>
          <w:lang w:eastAsia="en-GB"/>
        </w:rPr>
        <w:t>11</w:t>
      </w:r>
      <w:r>
        <w:rPr>
          <w:lang w:eastAsia="en-GB"/>
        </w:rPr>
        <w:t>. M</w:t>
      </w:r>
      <w:r>
        <w:rPr>
          <w:vertAlign w:val="subscript"/>
          <w:lang w:eastAsia="en-GB"/>
        </w:rPr>
        <w:t>3</w:t>
      </w:r>
      <w:r>
        <w:rPr>
          <w:lang w:eastAsia="en-GB"/>
        </w:rPr>
        <w:t>, N</w:t>
      </w:r>
      <w:r>
        <w:rPr>
          <w:vertAlign w:val="subscript"/>
          <w:lang w:eastAsia="en-GB"/>
        </w:rPr>
        <w:t>2</w:t>
      </w:r>
      <w:r>
        <w:rPr>
          <w:lang w:eastAsia="en-GB"/>
        </w:rPr>
        <w:t xml:space="preserve"> ir N</w:t>
      </w:r>
      <w:r>
        <w:rPr>
          <w:vertAlign w:val="subscript"/>
          <w:lang w:eastAsia="en-GB"/>
        </w:rPr>
        <w:t>3</w:t>
      </w:r>
      <w:r>
        <w:rPr>
          <w:lang w:eastAsia="en-GB"/>
        </w:rPr>
        <w:t xml:space="preserve"> kategorijų transporto </w:t>
      </w:r>
      <w:r>
        <w:t>priemonių įsigijimas, nuoma arba finansinė nuoma (lizingas)</w:t>
      </w:r>
      <w:r>
        <w:rPr>
          <w:sz w:val="27"/>
          <w:szCs w:val="27"/>
          <w:lang w:eastAsia="en-GB"/>
        </w:rPr>
        <w:t>:</w:t>
      </w:r>
    </w:p>
    <w:p>
      <w:pPr>
        <w:ind w:firstLine="851"/>
        <w:jc w:val="both"/>
        <w:textAlignment w:val="baseline"/>
        <w:rPr>
          <w:rFonts w:ascii="Calibri" w:hAnsi="Calibri" w:cs="Calibri"/>
          <w:color w:val="000000"/>
          <w:sz w:val="22"/>
          <w:szCs w:val="22"/>
          <w:lang w:eastAsia="lt-LT"/>
        </w:rPr>
      </w:pPr>
      <w:r>
        <w:rPr>
          <w:color w:val="000000"/>
          <w:szCs w:val="24"/>
          <w:bdr w:val="none" w:sz="0" w:space="0" w:color="auto" w:frame="1"/>
          <w:shd w:val="clear" w:color="auto" w:fill="FFFFFF"/>
          <w:lang w:eastAsia="lt-LT"/>
        </w:rPr>
        <w:t>11.1</w:t>
      </w:r>
      <w:r>
        <w:rPr>
          <w:color w:val="000000"/>
          <w:szCs w:val="24"/>
          <w:bdr w:val="none" w:sz="0" w:space="0" w:color="auto" w:frame="1"/>
          <w:shd w:val="clear" w:color="auto" w:fill="FFFFFF"/>
          <w:lang w:eastAsia="lt-LT"/>
        </w:rPr>
        <w:t>. transporto priemonė atitinka vieną iš šių minimalių aplinkos apsaugos kriterijų:</w:t>
      </w:r>
    </w:p>
    <w:p>
      <w:pPr>
        <w:ind w:firstLine="851"/>
        <w:jc w:val="both"/>
        <w:textAlignment w:val="baseline"/>
        <w:rPr>
          <w:color w:val="000000"/>
          <w:szCs w:val="24"/>
          <w:bdr w:val="none" w:sz="0" w:space="0" w:color="auto" w:frame="1"/>
          <w:shd w:val="clear" w:color="auto" w:fill="FFFFFF"/>
          <w:lang w:eastAsia="lt-LT"/>
        </w:rPr>
      </w:pPr>
      <w:r>
        <w:rPr>
          <w:color w:val="000000"/>
          <w:szCs w:val="24"/>
          <w:bdr w:val="none" w:sz="0" w:space="0" w:color="auto" w:frame="1"/>
          <w:shd w:val="clear" w:color="auto" w:fill="FFFFFF"/>
          <w:lang w:eastAsia="lt-LT"/>
        </w:rPr>
        <w:t>11.1.1</w:t>
      </w:r>
      <w:r>
        <w:rPr>
          <w:color w:val="000000"/>
          <w:szCs w:val="24"/>
          <w:bdr w:val="none" w:sz="0" w:space="0" w:color="auto" w:frame="1"/>
          <w:shd w:val="clear" w:color="auto" w:fill="FFFFFF"/>
          <w:lang w:eastAsia="lt-LT"/>
        </w:rPr>
        <w:t>. atliekant pirkimus Alternatyviųjų degalų įstatymo 15 straipsnio 1 dalyje nustatytais atvejais ir atsižvelgiant į šio įstatymo 15 straipsnio 3, 4 ir 5 dalyse pirkimams nustatytus reikalavimus, perkama transporto priemonė suprantama kaip apibrėžta Alternatyviųjų degalų įstatymo 2 straipsnio 23 ir (ar) 36 dalyse, išskyrus Alternatyviųjų degalų įstatymo 15 straipsnio 7 dalyje nurodytas transporto priemones;</w:t>
      </w:r>
    </w:p>
    <w:p>
      <w:pPr>
        <w:ind w:firstLine="851"/>
        <w:jc w:val="both"/>
        <w:textAlignment w:val="baseline"/>
        <w:rPr>
          <w:color w:val="000000"/>
          <w:szCs w:val="24"/>
          <w:bdr w:val="none" w:sz="0" w:space="0" w:color="auto" w:frame="1"/>
          <w:shd w:val="clear" w:color="auto" w:fill="FFFFFF"/>
          <w:lang w:eastAsia="lt-LT"/>
        </w:rPr>
      </w:pPr>
      <w:r>
        <w:rPr>
          <w:color w:val="000000"/>
          <w:szCs w:val="24"/>
          <w:bdr w:val="none" w:sz="0" w:space="0" w:color="auto" w:frame="1"/>
          <w:shd w:val="clear" w:color="auto" w:fill="FFFFFF"/>
          <w:lang w:eastAsia="lt-LT"/>
        </w:rPr>
        <w:t>11.1.2</w:t>
      </w:r>
      <w:r>
        <w:rPr>
          <w:szCs w:val="24"/>
          <w:bdr w:val="none" w:sz="0" w:space="0" w:color="auto" w:frame="1"/>
          <w:shd w:val="clear" w:color="auto" w:fill="FFFFFF"/>
          <w:lang w:eastAsia="lt-LT"/>
        </w:rPr>
        <w:t xml:space="preserve">. kitais </w:t>
      </w:r>
      <w:r>
        <w:rPr>
          <w:color w:val="000000"/>
          <w:szCs w:val="24"/>
          <w:bdr w:val="none" w:sz="0" w:space="0" w:color="auto" w:frame="1"/>
          <w:shd w:val="clear" w:color="auto" w:fill="FFFFFF"/>
          <w:lang w:eastAsia="lt-LT"/>
        </w:rPr>
        <w:t>pirkimų atvejais transporto priemonė turi atitikti 11.1.1 papunkčio reikalavimus arba </w:t>
      </w:r>
      <w:r>
        <w:rPr>
          <w:szCs w:val="24"/>
          <w:lang w:eastAsia="en-GB"/>
        </w:rPr>
        <w:t xml:space="preserve">atitikti ne mažesnį kaip „Euro 6“ teršalų išmetimo standartą, </w:t>
      </w:r>
      <w:r>
        <w:rPr>
          <w:color w:val="000000"/>
          <w:szCs w:val="24"/>
          <w:bdr w:val="none" w:sz="0" w:space="0" w:color="auto" w:frame="1"/>
          <w:shd w:val="clear" w:color="auto" w:fill="FFFFFF"/>
          <w:lang w:eastAsia="lt-LT"/>
        </w:rPr>
        <w:t>išskyrus Alternatyviųjų degalų įstatymo 15 straipsnio 7 dalyje nurodytas transporto priemones.</w:t>
      </w:r>
    </w:p>
    <w:p>
      <w:pPr>
        <w:ind w:firstLine="851"/>
        <w:jc w:val="both"/>
        <w:textAlignment w:val="baseline"/>
        <w:rPr>
          <w:rFonts w:ascii="Calibri" w:hAnsi="Calibri" w:cs="Calibri"/>
          <w:color w:val="000000"/>
          <w:sz w:val="22"/>
          <w:szCs w:val="22"/>
          <w:lang w:eastAsia="lt-LT"/>
        </w:rPr>
      </w:pPr>
    </w:p>
    <w:p>
      <w:pPr>
        <w:suppressLineNumbers/>
        <w:suppressAutoHyphens/>
        <w:ind w:left="283" w:hanging="283"/>
        <w:rPr>
          <w:rFonts w:eastAsia="Arial"/>
          <w:b/>
          <w:bCs/>
          <w:szCs w:val="24"/>
          <w:lang w:eastAsia="en-GB"/>
        </w:rPr>
      </w:pPr>
    </w:p>
    <w:p>
      <w:pPr>
        <w:keepNext/>
        <w:keepLines/>
        <w:tabs>
          <w:tab w:val="center" w:pos="5244"/>
          <w:tab w:val="left" w:pos="8177"/>
        </w:tabs>
        <w:suppressAutoHyphens/>
        <w:jc w:val="center"/>
        <w:rPr>
          <w:b/>
          <w:bCs/>
          <w:szCs w:val="24"/>
          <w:lang w:eastAsia="lt-LT"/>
        </w:rPr>
      </w:pPr>
      <w:r>
        <w:rPr>
          <w:b/>
          <w:bCs/>
          <w:szCs w:val="24"/>
          <w:lang w:eastAsia="lt-LT"/>
        </w:rPr>
        <w:t>XI</w:t>
      </w:r>
      <w:r>
        <w:rPr>
          <w:b/>
          <w:bCs/>
          <w:szCs w:val="24"/>
          <w:lang w:eastAsia="lt-LT"/>
        </w:rPr>
        <w:t xml:space="preserve"> SKYRIUS</w:t>
      </w:r>
    </w:p>
    <w:p>
      <w:pPr>
        <w:keepNext/>
        <w:tabs>
          <w:tab w:val="center" w:pos="5244"/>
          <w:tab w:val="left" w:pos="8177"/>
        </w:tabs>
        <w:suppressAutoHyphens/>
        <w:jc w:val="center"/>
        <w:rPr>
          <w:b/>
          <w:bCs/>
          <w:lang w:eastAsia="en-GB"/>
        </w:rPr>
      </w:pPr>
      <w:r>
        <w:rPr>
          <w:b/>
          <w:bCs/>
          <w:lang w:eastAsia="lt-LT"/>
        </w:rPr>
        <w:t>VIEŠŲJŲ ERDVIŲ, ŽELDYNŲ IR ŽELDINIŲ PRIEŽIŪRA IR TVARKYMAS</w:t>
      </w:r>
    </w:p>
    <w:p>
      <w:pPr>
        <w:keepNext/>
        <w:tabs>
          <w:tab w:val="center" w:pos="5244"/>
          <w:tab w:val="left" w:pos="8177"/>
        </w:tabs>
        <w:suppressAutoHyphens/>
        <w:jc w:val="center"/>
        <w:rPr>
          <w:b/>
          <w:bCs/>
          <w:lang w:eastAsia="lt-LT"/>
        </w:rPr>
      </w:pPr>
    </w:p>
    <w:p>
      <w:pPr>
        <w:suppressAutoHyphens/>
        <w:ind w:firstLine="851"/>
        <w:jc w:val="both"/>
        <w:rPr>
          <w:rFonts w:eastAsia="Arial"/>
          <w:b/>
          <w:bCs/>
          <w:szCs w:val="24"/>
          <w:lang w:eastAsia="en-GB"/>
        </w:rPr>
      </w:pPr>
      <w:r>
        <w:rPr>
          <w:szCs w:val="24"/>
        </w:rPr>
        <w:t>12</w:t>
      </w:r>
      <w:r>
        <w:rPr>
          <w:szCs w:val="24"/>
        </w:rPr>
        <w:t>. Dirvožemio savybes gerinančios medžiagos: trąšos ir dirvožemį gerinančios priemonės turi būti įsigyjamos pagal Valstybinės augalininkystės tarnybos patvirtintą trąšų ir dirvožemio gerinimo priemonių, tinkamų naudoti ekologinėje gamyboje, sąrašą, paskelbtą Valstybinės augalininkystės tarnybos interneto svetainėje www.vatzum.lt.</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suppressLineNumbers/>
        <w:suppressAutoHyphens/>
        <w:ind w:firstLine="851"/>
        <w:jc w:val="both"/>
        <w:rPr>
          <w:rFonts w:eastAsia="Arial"/>
          <w:b/>
          <w:bCs/>
          <w:szCs w:val="24"/>
          <w:lang w:eastAsia="en-GB"/>
        </w:rPr>
      </w:pPr>
      <w:r>
        <w:rPr>
          <w:rFonts w:eastAsia="Arial"/>
          <w:szCs w:val="24"/>
          <w:lang w:eastAsia="en-GB"/>
        </w:rPr>
        <w:t>13</w:t>
      </w:r>
      <w:r>
        <w:rPr>
          <w:rFonts w:eastAsia="Arial"/>
          <w:szCs w:val="24"/>
          <w:lang w:eastAsia="en-GB"/>
        </w:rPr>
        <w:t>. Drėkinimo sistemos:</w:t>
      </w:r>
      <w:r>
        <w:rPr>
          <w:rFonts w:eastAsia="Arial"/>
          <w:b/>
          <w:bCs/>
          <w:szCs w:val="24"/>
          <w:lang w:eastAsia="en-GB"/>
        </w:rPr>
        <w:t xml:space="preserve"> </w:t>
      </w:r>
      <w:r>
        <w:rPr>
          <w:rFonts w:eastAsia="Arial"/>
          <w:szCs w:val="24"/>
          <w:lang w:eastAsia="en-GB"/>
        </w:rPr>
        <w:t>drėkinimo sistemoje turi būti reguliuojamas paskirstomo vandens kiekis, įdiegtas laikmatis ir dirvos drėgnumą matuojantis prietaisas norint efektyviai programuoti vandens paskirstymą ir laistymo trukmę.</w:t>
      </w:r>
    </w:p>
    <w:p>
      <w:pPr>
        <w:suppressLineNumbers/>
        <w:suppressAutoHyphens/>
        <w:ind w:firstLine="975"/>
        <w:jc w:val="both"/>
        <w:rPr>
          <w:rFonts w:eastAsia="Arial"/>
          <w:szCs w:val="24"/>
          <w:lang w:eastAsia="en-GB"/>
        </w:rPr>
      </w:pPr>
    </w:p>
    <w:p>
      <w:pPr>
        <w:suppressLineNumbers/>
        <w:suppressAutoHyphens/>
        <w:ind w:firstLine="851"/>
        <w:rPr>
          <w:rFonts w:eastAsia="Arial"/>
          <w:szCs w:val="24"/>
          <w:lang w:eastAsia="en-GB"/>
        </w:rPr>
      </w:pPr>
      <w:r>
        <w:rPr>
          <w:rFonts w:eastAsia="Arial"/>
          <w:szCs w:val="24"/>
          <w:lang w:eastAsia="en-GB"/>
        </w:rPr>
        <w:t>14</w:t>
      </w:r>
      <w:r>
        <w:rPr>
          <w:rFonts w:eastAsia="Arial"/>
          <w:szCs w:val="24"/>
          <w:lang w:eastAsia="en-GB"/>
        </w:rPr>
        <w:t>. Želdinių ir želdynų priežiūros motorinė technika:</w:t>
      </w:r>
    </w:p>
    <w:p>
      <w:pPr>
        <w:suppressLineNumbers/>
        <w:suppressAutoHyphens/>
        <w:ind w:firstLine="851"/>
        <w:rPr>
          <w:rFonts w:eastAsia="Arial"/>
          <w:szCs w:val="24"/>
          <w:lang w:eastAsia="en-GB"/>
        </w:rPr>
      </w:pPr>
      <w:r>
        <w:rPr>
          <w:rFonts w:eastAsia="Arial"/>
          <w:szCs w:val="24"/>
          <w:lang w:eastAsia="en-GB"/>
        </w:rPr>
        <w:t>14.1</w:t>
      </w:r>
      <w:r>
        <w:rPr>
          <w:rFonts w:eastAsia="Arial"/>
          <w:szCs w:val="24"/>
          <w:lang w:eastAsia="en-GB"/>
        </w:rPr>
        <w:t>. technika turinti vidaus degimo variklį ar elektros variklį turi atitikti bent vieną iš šių minimalių aplinkos apsaugos kriterijų:</w:t>
      </w:r>
    </w:p>
    <w:p>
      <w:pPr>
        <w:suppressLineNumbers/>
        <w:suppressAutoHyphens/>
        <w:ind w:firstLine="851"/>
        <w:jc w:val="both"/>
        <w:rPr>
          <w:rFonts w:eastAsia="Arial"/>
          <w:szCs w:val="24"/>
          <w:lang w:eastAsia="en-GB"/>
        </w:rPr>
      </w:pPr>
      <w:r>
        <w:rPr>
          <w:rFonts w:eastAsia="Arial"/>
          <w:szCs w:val="24"/>
          <w:lang w:eastAsia="en-GB"/>
        </w:rPr>
        <w:t>14.1.1</w:t>
      </w:r>
      <w:r>
        <w:rPr>
          <w:rFonts w:eastAsia="Arial"/>
          <w:szCs w:val="24"/>
          <w:lang w:eastAsia="en-GB"/>
        </w:rPr>
        <w:t>. ne mažesnį kaip „Euro 6“ standartą, nustatytą Reglamentu (EB) Nr. 715/2007;</w:t>
      </w:r>
    </w:p>
    <w:p>
      <w:pPr>
        <w:suppressLineNumbers/>
        <w:suppressAutoHyphens/>
        <w:ind w:firstLine="851"/>
        <w:jc w:val="both"/>
        <w:rPr>
          <w:rFonts w:eastAsia="Arial"/>
          <w:szCs w:val="24"/>
          <w:lang w:eastAsia="en-GB"/>
        </w:rPr>
      </w:pPr>
      <w:r>
        <w:rPr>
          <w:rFonts w:eastAsia="Arial"/>
          <w:szCs w:val="24"/>
          <w:lang w:eastAsia="en-GB"/>
        </w:rPr>
        <w:t>14.1.2</w:t>
      </w:r>
      <w:r>
        <w:rPr>
          <w:rFonts w:eastAsia="Arial"/>
          <w:szCs w:val="24"/>
          <w:lang w:eastAsia="en-GB"/>
        </w:rPr>
        <w:t>. standartą „Euro VI“, nustatytą 2009 m. birželio 18 d. Europos Parlamento ir Tarybos reglamentu (EB) Nr. 595/2009 dėl motorinių transporto priemonių ir variklių tipo patvirtinimo atsižvelgiant į sunkiųjų transporto priemonių išmetamų teršalų kiekį („Euro VI“) ir dėl galimybės naudotis transporto priemonių remonto ir priežiūros informacija, iš dalies keičiantis Reglamentą (EB) Nr. 715/2007 ir Direktyvą 2007/46/EB, panaikinantis Direktyvas 80/1269/EEB, 2005/55/EB ir 2005/78/EB;</w:t>
      </w:r>
    </w:p>
    <w:p>
      <w:pPr>
        <w:suppressLineNumbers/>
        <w:suppressAutoHyphens/>
        <w:ind w:firstLine="851"/>
        <w:jc w:val="both"/>
        <w:rPr>
          <w:rFonts w:eastAsia="Arial"/>
          <w:szCs w:val="24"/>
          <w:lang w:eastAsia="en-GB"/>
        </w:rPr>
      </w:pPr>
      <w:r>
        <w:rPr>
          <w:rFonts w:eastAsia="Arial"/>
          <w:szCs w:val="24"/>
          <w:lang w:eastAsia="en-GB"/>
        </w:rPr>
        <w:t>14.1.3</w:t>
      </w:r>
      <w:r>
        <w:rPr>
          <w:rFonts w:eastAsia="Arial"/>
          <w:szCs w:val="24"/>
          <w:lang w:eastAsia="en-GB"/>
        </w:rPr>
        <w:t>. V etapo variklių tipo reikalavimus, nustatytus 2016 m. rugsėjo 14 d. Europos Parlamento ir Tarybos reglamentu (ES) 2016/1628 dėl reikalavimų, susijusių su ne keliais judančių mechanizmų vidaus degimo variklių dujinių ir kietųjų dalelių išmetamųjų teršalų ribinėmis vertėmis ir tipo patvirtinimu, kuriuo iš dalies keičiami reglamentai (ES) Nr. 1024/2012 ir (ES) Nr. 167/2013 ir iš dalies keičiama bei panaikinama Direktyva 97/68/EB;</w:t>
      </w:r>
    </w:p>
    <w:p>
      <w:pPr>
        <w:suppressLineNumbers/>
        <w:suppressAutoHyphens/>
        <w:ind w:firstLine="851"/>
        <w:rPr>
          <w:rFonts w:eastAsia="Arial"/>
          <w:szCs w:val="24"/>
          <w:lang w:eastAsia="en-GB"/>
        </w:rPr>
      </w:pPr>
      <w:r>
        <w:rPr>
          <w:rFonts w:eastAsia="Arial"/>
          <w:szCs w:val="24"/>
          <w:lang w:eastAsia="en-GB"/>
        </w:rPr>
        <w:t>14.1.4</w:t>
      </w:r>
      <w:r>
        <w:rPr>
          <w:rFonts w:eastAsia="Arial"/>
          <w:szCs w:val="24"/>
          <w:lang w:eastAsia="en-GB"/>
        </w:rPr>
        <w:t>. akumuliatoriumi ar elektra varoma technika, kuri neišmeta teršalų.</w:t>
      </w:r>
    </w:p>
    <w:p>
      <w:pPr>
        <w:suppressLineNumbers/>
        <w:suppressAutoHyphens/>
        <w:ind w:left="283" w:hanging="283"/>
        <w:rPr>
          <w:rFonts w:eastAsia="Arial"/>
          <w:b/>
          <w:bCs/>
          <w:szCs w:val="24"/>
          <w:lang w:eastAsia="en-GB"/>
        </w:rPr>
      </w:pPr>
    </w:p>
    <w:p>
      <w:pPr>
        <w:keepNext/>
        <w:keepLines/>
        <w:jc w:val="center"/>
        <w:rPr>
          <w:b/>
          <w:bCs/>
          <w:szCs w:val="24"/>
        </w:rPr>
      </w:pPr>
      <w:r>
        <w:rPr>
          <w:b/>
          <w:bCs/>
          <w:szCs w:val="24"/>
        </w:rPr>
        <w:t>XII</w:t>
      </w:r>
      <w:r>
        <w:rPr>
          <w:b/>
          <w:bCs/>
          <w:szCs w:val="24"/>
        </w:rPr>
        <w:t xml:space="preserve"> SKYRIUS</w:t>
      </w:r>
    </w:p>
    <w:p>
      <w:pPr>
        <w:keepNext/>
        <w:keepLines/>
        <w:jc w:val="center"/>
        <w:rPr>
          <w:b/>
          <w:bCs/>
        </w:rPr>
      </w:pPr>
      <w:r>
        <w:rPr>
          <w:b/>
          <w:bCs/>
        </w:rPr>
        <w:t>PASTATŲ PROJEKTAVIMO PASLAUGOS IR STATYBOS DARBAI</w:t>
      </w:r>
    </w:p>
    <w:p>
      <w:pPr>
        <w:suppressLineNumbers/>
        <w:suppressAutoHyphens/>
        <w:ind w:firstLine="851"/>
        <w:jc w:val="both"/>
        <w:rPr>
          <w:rFonts w:eastAsia="Arial"/>
          <w:b/>
          <w:bCs/>
          <w:szCs w:val="24"/>
          <w:lang w:eastAsia="en-GB"/>
        </w:rPr>
      </w:pPr>
    </w:p>
    <w:p>
      <w:pPr>
        <w:suppressAutoHyphens/>
        <w:ind w:firstLine="851"/>
        <w:jc w:val="both"/>
        <w:rPr>
          <w:lang w:eastAsia="en-GB"/>
        </w:rPr>
      </w:pPr>
      <w:r>
        <w:rPr>
          <w:rFonts w:eastAsia="Arial"/>
          <w:lang w:eastAsia="en-GB"/>
        </w:rPr>
        <w:t>15</w:t>
      </w:r>
      <w:r>
        <w:rPr>
          <w:rFonts w:eastAsia="Arial"/>
          <w:lang w:eastAsia="en-GB"/>
        </w:rPr>
        <w:t xml:space="preserve">. </w:t>
      </w:r>
      <w:r>
        <w:rPr>
          <w:lang w:eastAsia="en-GB"/>
        </w:rPr>
        <w:t>Pastatų projektavimo paslaugos ir jų statybos darbai:</w:t>
      </w:r>
    </w:p>
    <w:p>
      <w:pPr>
        <w:suppressAutoHyphens/>
        <w:ind w:firstLine="851"/>
        <w:jc w:val="both"/>
      </w:pPr>
      <w:r>
        <w:rPr>
          <w:szCs w:val="24"/>
        </w:rPr>
        <w:t>15.1</w:t>
      </w:r>
      <w:r>
        <w:rPr>
          <w:szCs w:val="24"/>
        </w:rPr>
        <w:t>. kai perkamos pastatų projektavimo paslaugos, projekte turi būti numatyta, kad statyboje naudojamos statybinės medžiagos atitiktų minimalius aplinkos apsaugos kriterijus (XIII skyrius „Statybinės medžiagos“) ir kad kiti su pastato projektu susiję produktai atitiktų jiems taikomus minimalius aplinkos apsaugos kriterijus (XIV skyrius „Patalpų apšvietimas“; XV skyrius „Vandens maišytuvai ir dušai“; XVI skyrius „Vandens šildytuvai“);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ind w:firstLine="851"/>
        <w:jc w:val="both"/>
        <w:rPr>
          <w:lang w:eastAsia="en-GB"/>
        </w:rPr>
      </w:pPr>
      <w:r>
        <w:rPr>
          <w:kern w:val="2"/>
          <w:szCs w:val="24"/>
          <w14:ligatures w14:val="standardContextual"/>
        </w:rPr>
        <w:t>15.1</w:t>
      </w:r>
      <w:r>
        <w:rPr>
          <w:kern w:val="2"/>
          <w:szCs w:val="24"/>
          <w:vertAlign w:val="superscript"/>
          <w14:ligatures w14:val="standardContextual"/>
        </w:rPr>
        <w:t>1</w:t>
      </w:r>
      <w:r>
        <w:rPr>
          <w:kern w:val="2"/>
          <w:szCs w:val="24"/>
          <w14:ligatures w14:val="standardContextual"/>
        </w:rPr>
        <w:t>. kai perkamos ypatingųjų ir neypatingųjų statinių kategorijai priskiriamų naujos statybos visuomeninės paskirties pastatų projektavimo paslaugos, pagal Lietuvos Vyriausybės 2023 m. liepos 19 d. nutarimo Nr. 582 „Dėl medienos ir kitų organinių medžiagų iš atsinaujinančių gamtos išteklių pagrindu pagamintų statybos produktų naudojimo visuomeninės paskirties pastatuose“ nuostatas, pastatas turi būti projektuojamas taikant aplinkos ministro patvirtintą medienos ir kitų organinių medžiagų iš atsinaujinančių gamtos išteklių pagrindu pagamintų statybos produktų naudojimo visuomeninės paskirties pastatuose nustatymo metodiką;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papunkčiu: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92cde9195f411efa605b9842742bf37">
        <w:r w:rsidRPr="00532B9F">
          <w:rPr>
            <w:rFonts w:ascii="Times New Roman" w:eastAsia="MS Mincho" w:hAnsi="Times New Roman"/>
            <w:sz w:val="20"/>
            <w:i/>
            <w:iCs/>
            <w:color w:val="0000FF" w:themeColor="hyperlink"/>
            <w:u w:val="single"/>
          </w:rPr>
          <w:t>D1-367</w:t>
        </w:r>
      </w:fldSimple>
      <w:r>
        <w:rPr>
          <w:rFonts w:ascii="Times New Roman" w:eastAsia="MS Mincho" w:hAnsi="Times New Roman"/>
          <w:sz w:val="20"/>
          <w:i/>
          <w:iCs/>
        </w:rPr>
        <w:t>,
2024-10-29,
paskelbta TAR 2024-10-29, i. k. 2024-18741        </w:t>
      </w:r>
    </w:p>
    <w:p/>
    <w:p>
      <w:pPr>
        <w:suppressAutoHyphens/>
        <w:ind w:firstLine="851"/>
        <w:jc w:val="both"/>
        <w:rPr>
          <w:lang w:val="lt" w:eastAsia="lt-LT"/>
        </w:rPr>
      </w:pPr>
      <w:r>
        <w:rPr>
          <w:lang w:eastAsia="en-GB"/>
        </w:rPr>
        <w:t>15.2</w:t>
      </w:r>
      <w:r>
        <w:rPr>
          <w:lang w:eastAsia="en-GB"/>
        </w:rPr>
        <w:t xml:space="preserve">. </w:t>
      </w:r>
      <w:r>
        <w:rPr>
          <w:szCs w:val="24"/>
        </w:rPr>
        <w:t>tiekėjas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kitų pirkimų atvejais lygiaverčiai įrodymai priimami tik jeigu tiekėjas dėl nuo jo nepriklausančių objektyvių priežasčių negali pateikti sertifikatų per nustatytą laiką</w:t>
      </w:r>
      <w:r>
        <w:rPr>
          <w:lang w:val="lt" w:eastAsia="lt-LT"/>
        </w:rPr>
        <w:t>).</w:t>
      </w:r>
    </w:p>
    <w:p>
      <w:pPr>
        <w:suppressAutoHyphens/>
        <w:ind w:firstLine="851"/>
        <w:jc w:val="both"/>
        <w:rPr>
          <w:lang w:val="lt" w:eastAsia="lt-LT"/>
        </w:rPr>
      </w:pPr>
      <w:r>
        <w:rPr>
          <w:lang w:eastAsia="lt-LT"/>
        </w:rPr>
        <w:t>Atitiktį reikalavimui įrodantys dokumentai: nepriklausomos įstaigos išduotas sertifikatas. Pirkimo vykdytojas pripažįsta lygiaverčius sertifikatus, išduotus kitose valstybėse narėse įsteigtų nepriklausomų įstaigų. Pirkimo vykdytojas, atlikdamas supaprastintą pirkimą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 o kitų pirkimų atvejais lygiaverčiai įrodymai priimami tik jeigu tiekėjas dėl nuo jo nepriklausančių objektyvių priežasčių negali pateikti sertifikatų per nustatytą laiką.</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suppressAutoHyphens/>
        <w:jc w:val="both"/>
        <w:rPr>
          <w:sz w:val="22"/>
        </w:rPr>
      </w:pPr>
      <w:r>
        <w:rPr>
          <w:b/>
          <w:i/>
          <w:color w:val="000000"/>
          <w:sz w:val="22"/>
          <w:lang w:val="en-GB" w:eastAsia="lt-LT"/>
        </w:rPr>
        <w:t>15</w:t>
      </w:r>
      <w:r>
        <w:rPr>
          <w:b/>
          <w:i/>
          <w:color w:val="000000"/>
          <w:sz w:val="22"/>
          <w:lang w:eastAsia="lt-LT"/>
        </w:rPr>
        <w:t xml:space="preserve"> punkto redakcija nuo 2025-01-01:</w:t>
      </w:r>
    </w:p>
    <w:p>
      <w:pPr>
        <w:suppressAutoHyphens/>
        <w:ind w:firstLine="851"/>
        <w:jc w:val="both"/>
        <w:rPr>
          <w:lang w:eastAsia="en-GB"/>
        </w:rPr>
      </w:pPr>
      <w:r>
        <w:rPr>
          <w:rFonts w:eastAsia="Arial"/>
          <w:lang w:eastAsia="en-GB"/>
        </w:rPr>
        <w:t>15</w:t>
      </w:r>
      <w:r>
        <w:rPr>
          <w:rFonts w:eastAsia="Arial"/>
          <w:lang w:eastAsia="en-GB"/>
        </w:rPr>
        <w:t xml:space="preserve">. </w:t>
      </w:r>
      <w:r>
        <w:rPr>
          <w:lang w:eastAsia="en-GB"/>
        </w:rPr>
        <w:t>Pastatų projektavimo paslaugos ir jų statybos darbai:</w:t>
      </w:r>
    </w:p>
    <w:p>
      <w:pPr>
        <w:suppressAutoHyphens/>
        <w:ind w:firstLine="851"/>
        <w:jc w:val="both"/>
        <w:rPr>
          <w:lang w:eastAsia="en-GB"/>
        </w:rPr>
      </w:pPr>
      <w:r>
        <w:rPr>
          <w:lang w:eastAsia="en-GB"/>
        </w:rPr>
        <w:t>15.1</w:t>
      </w:r>
      <w:r>
        <w:rPr>
          <w:lang w:eastAsia="en-GB"/>
        </w:rPr>
        <w:t xml:space="preserve">. kai yra perkamos pastatų projektavimo paslaugos, projekte turi būti numatyta, kad statyboje naudojamos statybinės medžiagos atitiktų minimalius aplinkos apsaugos kriterijus (XIII skyrius „Statybinės medžiagos“); </w:t>
      </w:r>
    </w:p>
    <w:p>
      <w:pPr>
        <w:suppressAutoHyphens/>
        <w:ind w:firstLine="851"/>
        <w:jc w:val="both"/>
        <w:rPr>
          <w:lang w:val="lt" w:eastAsia="lt-LT"/>
        </w:rPr>
      </w:pPr>
      <w:r>
        <w:rPr>
          <w:lang w:eastAsia="en-GB"/>
        </w:rPr>
        <w:t>15.2</w:t>
      </w:r>
      <w:r>
        <w:rPr>
          <w:lang w:eastAsia="en-GB"/>
        </w:rPr>
        <w:t xml:space="preserve">. </w:t>
      </w:r>
      <w:r>
        <w:rPr>
          <w:lang w:val="lt" w:eastAsia="lt-LT"/>
        </w:rPr>
        <w:t>tiekėjas teikiamoms projektavimo paslaugoms ir atliekamiems statybos darbams taiko aplinkos apsaugos vadybos sistemos reikalavimus pagal standartą LST EN ISO 14001 arba EMAS ar kitus aplinkos apsaugos vadybos standartus,</w:t>
      </w:r>
      <w:r>
        <w:rPr>
          <w:lang w:eastAsia="lt-LT"/>
        </w:rPr>
        <w:t xml:space="preserve"> </w:t>
      </w:r>
      <w:r>
        <w:rPr>
          <w:lang w:val="lt" w:eastAsia="lt-LT"/>
        </w:rPr>
        <w:t>pagrįstus atitinkamais Europos arba tarptautinių standartizacijos organizacijų priimtais standartais, ar kitais tiekėjo pateiktais lygiaverčiais įrodymais (lygiaverčiai įrodymai gali būti priimami atliekant supaprastintus pirkimus, o kitų pirkimų atvejais lygiaverčiai įrodymai priimami tik jeigu tiekėjas dėl nuo jo nepriklausančių objektyvių priežasčių negali pateikti sertifikatų per nustatytą laiką);</w:t>
      </w:r>
    </w:p>
    <w:p>
      <w:pPr>
        <w:suppressAutoHyphens/>
        <w:ind w:firstLine="851"/>
        <w:jc w:val="both"/>
        <w:rPr>
          <w:lang w:val="lt" w:eastAsia="lt-LT"/>
        </w:rPr>
      </w:pPr>
      <w:r>
        <w:rPr>
          <w:lang w:eastAsia="lt-LT"/>
        </w:rPr>
        <w:t>Atitiktį reikalavimui įrodantys dokumentai: nepriklausomos įstaigos išduotas sertifikatas. Pirkimo vykdytojas pripažįsta lygiaverčius sertifikatus, išduotus kitose valstybėse narėse įsteigtų nepriklausomų įstaigų. Pirkimo vykdytojas, atlikdamas supaprastintą pirkimą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 o kitų pirkimų atvejais lygiaverčiai įrodymai priimami tik jeigu tiekėjas dėl nuo jo nepriklausančių objektyvių priežasčių negali pateikti sertifikatų per nustatytą laiką.</w:t>
      </w:r>
    </w:p>
    <w:p>
      <w:pPr>
        <w:ind w:firstLine="851"/>
        <w:jc w:val="both"/>
        <w:rPr>
          <w:color w:val="000000"/>
          <w:spacing w:val="-2"/>
          <w:lang w:eastAsia="lt-LT"/>
        </w:rPr>
      </w:pPr>
      <w:r>
        <w:rPr>
          <w:lang w:eastAsia="en-GB"/>
        </w:rPr>
        <w:t>15.3</w:t>
      </w:r>
      <w:r>
        <w:rPr>
          <w:lang w:eastAsia="en-GB"/>
        </w:rPr>
        <w:t xml:space="preserve">. </w:t>
      </w:r>
      <w:r>
        <w:rPr>
          <w:color w:val="000000"/>
          <w:lang w:val="lt" w:eastAsia="lt-LT"/>
        </w:rPr>
        <w:t xml:space="preserve">statomi nauji ypatingieji ir neypatingieji pastatai, kuriems taikomi </w:t>
      </w:r>
      <w:r>
        <w:rPr>
          <w:lang w:val="lt" w:eastAsia="lt-LT"/>
        </w:rPr>
        <w:t xml:space="preserve">Lietuvos Respublikos </w:t>
      </w:r>
      <w:r>
        <w:rPr>
          <w:color w:val="000000"/>
          <w:lang w:val="lt" w:eastAsia="lt-LT"/>
        </w:rPr>
        <w:t xml:space="preserve">statybos įstatyme ir Lietuvos Respublikos aplinkos ministro 2016 m. lapkričio 11 d. įsakyme Nr. D1-754 „Dėl statybos techninio reglamento STR 2.01.02:2016 „Pastatų energinio naudingumo projektavimas ir sertifikavimas“ patvirtinimo“ nustatyti privalomi minimalūs energinio naudingumo reikalavimai, turi būti projektuojami ir statomi taip, kad projektavimo, statybos ir naudojimo </w:t>
      </w:r>
      <w:r>
        <w:rPr>
          <w:lang w:val="lt" w:eastAsia="lt-LT"/>
        </w:rPr>
        <w:t>etapuose būtų užtikrinta atitiktis pirkimo vykdytojo pasirinktam pastato tvarumo lygiui pagal pirkimo vykdytojo pasirinktą pastatų tvarumo vertinimo sistemą (-as).</w:t>
      </w:r>
    </w:p>
    <w:p>
      <w:pPr>
        <w:suppressAutoHyphens/>
        <w:jc w:val="both"/>
        <w:rPr>
          <w:lang w:eastAsia="lt-LT"/>
        </w:rPr>
      </w:pPr>
    </w:p>
    <w:p>
      <w:pPr>
        <w:suppressAutoHyphens/>
        <w:jc w:val="center"/>
        <w:rPr>
          <w:b/>
          <w:bCs/>
        </w:rPr>
      </w:pPr>
      <w:r>
        <w:rPr>
          <w:b/>
          <w:bCs/>
        </w:rPr>
        <w:t>XIII</w:t>
      </w:r>
      <w:r>
        <w:rPr>
          <w:b/>
          <w:bCs/>
        </w:rPr>
        <w:t xml:space="preserve"> SKYRIUS</w:t>
      </w:r>
    </w:p>
    <w:p>
      <w:pPr>
        <w:suppressAutoHyphens/>
        <w:jc w:val="center"/>
        <w:rPr>
          <w:b/>
          <w:bCs/>
        </w:rPr>
      </w:pPr>
      <w:r>
        <w:rPr>
          <w:b/>
          <w:bCs/>
        </w:rPr>
        <w:t xml:space="preserve">STATYBINĖS MEDŽIAGOS </w:t>
      </w:r>
    </w:p>
    <w:p>
      <w:pPr>
        <w:suppressAutoHyphens/>
        <w:rPr>
          <w:b/>
          <w:bCs/>
        </w:rPr>
      </w:pPr>
    </w:p>
    <w:p>
      <w:pPr>
        <w:suppressAutoHyphens/>
        <w:ind w:firstLine="851"/>
        <w:jc w:val="both"/>
      </w:pPr>
      <w:r>
        <w:t>16</w:t>
      </w:r>
      <w:r>
        <w:t>. Mediena ir jos produktai:</w:t>
      </w:r>
    </w:p>
    <w:p>
      <w:pPr>
        <w:suppressAutoHyphens/>
        <w:ind w:firstLine="851"/>
        <w:jc w:val="both"/>
        <w:rPr>
          <w:b/>
          <w:bCs/>
        </w:rPr>
      </w:pPr>
      <w:r>
        <w:t>16.1</w:t>
      </w:r>
      <w:r>
        <w:t>. ne mažiau kaip 80 proc. statiniuose naudojamos medienos, medienos medžiagų ir gaminių turi būti iš miškų, sertifikuotų naudojant FSC ar PEFC miškų sertifikavimo sistemas arba lygiavertes sertifikavimo sistemas;</w:t>
      </w:r>
    </w:p>
    <w:p>
      <w:pPr>
        <w:suppressAutoHyphens/>
        <w:ind w:firstLine="851"/>
        <w:jc w:val="both"/>
      </w:pPr>
      <w:r>
        <w:rPr>
          <w:lang w:eastAsia="lt-LT"/>
        </w:rPr>
        <w:t>16.</w:t>
      </w:r>
      <w:r>
        <w:rPr>
          <w:smallCaps/>
          <w:lang w:eastAsia="lt-LT"/>
        </w:rPr>
        <w:t>2</w:t>
      </w:r>
      <w:r>
        <w:rPr>
          <w:smallCaps/>
          <w:lang w:eastAsia="lt-LT"/>
        </w:rPr>
        <w:t xml:space="preserve">. </w:t>
      </w:r>
      <w:r>
        <w:rPr>
          <w:lang w:eastAsia="lt-LT"/>
        </w:rPr>
        <w:t>plokštėse, kuriose yra formaldehido rišamųjų medžiagų, formaldehido emisija į atmosferą E1 klasės plokštėms turi būti ne didesnė kaip 0,124 mg/m</w:t>
      </w:r>
      <w:r>
        <w:rPr>
          <w:vertAlign w:val="superscript"/>
          <w:lang w:eastAsia="lt-LT"/>
        </w:rPr>
        <w:t>3</w:t>
      </w:r>
      <w:r>
        <w:rPr>
          <w:lang w:eastAsia="lt-LT"/>
        </w:rPr>
        <w:t xml:space="preserve"> oro pagal bandymo metodą LST EN 13986 „Medienos skydai, naudojami statybinėms konstrukcijoms. Charakteristikos, atitikties įvertinimas ir ženklinimas“ (arba lygiavertį standartą) arba formaldehido koncentracija turi būti ne didesnė kaip 0,1 ppm pagal bandymo metodą LST EN 717-1 „Medienos skydai. </w:t>
      </w:r>
      <w:r>
        <w:t>Formaldehido išsiskyrimo nustatymas. 1 dalis. Formaldehido išsiskyrimo nustatymas kameros metodu“ (arba lygiavertį standartą)</w:t>
      </w:r>
      <w:r>
        <w:rPr>
          <w:lang w:eastAsia="lt-LT"/>
        </w:rPr>
        <w:t>.</w:t>
      </w:r>
    </w:p>
    <w:p>
      <w:pPr>
        <w:ind w:firstLine="851"/>
        <w:jc w:val="both"/>
      </w:pPr>
      <w:r>
        <w:rPr>
          <w:color w:val="000000"/>
          <w:szCs w:val="24"/>
          <w:lang w:eastAsia="en-GB"/>
        </w:rPr>
        <w:t>16</w:t>
      </w:r>
      <w:r>
        <w:rPr>
          <w:color w:val="000000"/>
          <w:szCs w:val="24"/>
          <w:vertAlign w:val="superscript"/>
          <w:lang w:eastAsia="en-GB"/>
        </w:rPr>
        <w:t>1</w:t>
      </w:r>
      <w:r>
        <w:rPr>
          <w:color w:val="000000"/>
          <w:szCs w:val="24"/>
          <w:lang w:eastAsia="en-GB"/>
        </w:rPr>
        <w:t>. Visuomeninės paskirties pastatų, suprojektuotų pagal 15.1 ir 15.1</w:t>
      </w:r>
      <w:r>
        <w:rPr>
          <w:color w:val="000000"/>
          <w:szCs w:val="24"/>
          <w:vertAlign w:val="superscript"/>
          <w:lang w:eastAsia="en-GB"/>
        </w:rPr>
        <w:t>1</w:t>
      </w:r>
      <w:r>
        <w:rPr>
          <w:color w:val="000000"/>
          <w:szCs w:val="24"/>
          <w:lang w:eastAsia="en-GB"/>
        </w:rPr>
        <w:t xml:space="preserve"> papunkčiuose nustatytus minimalius aplinkos apsaugos kriterijus (XII skyrius „Pastatų projektavimas ir statybos darbai“), statyboje: ne mažiau kaip pusę išlaidų statybos produktams sudaro išlaidos produktams, kurie turi aplinkosaugines produktų deklaracijas pagal LST EN 15804 „Statinių tvarumas. Aplinkosauginės produktų deklaracijos. Pagrindinės taisyklės, taikomos statybos produktų kategorijoms“ arba lygiavertį standartą ir (ar) LST EN ISO 14025:2010 „Aplinkosauginiai ženklai ir aplinkosauginės deklaracijos. III tipo aplinkosauginės deklaracijos. Principai ir procedūros“ arba lygiavertį standartą.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92cde9195f411efa605b9842742bf37">
        <w:r w:rsidRPr="00532B9F">
          <w:rPr>
            <w:rFonts w:ascii="Times New Roman" w:eastAsia="MS Mincho" w:hAnsi="Times New Roman"/>
            <w:sz w:val="20"/>
            <w:i/>
            <w:iCs/>
            <w:color w:val="0000FF" w:themeColor="hyperlink"/>
            <w:u w:val="single"/>
          </w:rPr>
          <w:t>D1-367</w:t>
        </w:r>
      </w:fldSimple>
      <w:r>
        <w:rPr>
          <w:rFonts w:ascii="Times New Roman" w:eastAsia="MS Mincho" w:hAnsi="Times New Roman"/>
          <w:sz w:val="20"/>
          <w:i/>
          <w:iCs/>
        </w:rPr>
        <w:t>,
2024-10-29,
paskelbta TAR 2024-10-29, i. k. 2024-18741        </w:t>
      </w:r>
    </w:p>
    <w:p/>
    <w:p>
      <w:pPr>
        <w:keepNext/>
        <w:keepLines/>
        <w:ind w:firstLine="851"/>
      </w:pPr>
      <w:r>
        <w:t>17</w:t>
      </w:r>
      <w:r>
        <w:t>. Dažai:</w:t>
      </w:r>
    </w:p>
    <w:p>
      <w:pPr>
        <w:ind w:firstLine="851"/>
        <w:jc w:val="both"/>
      </w:pPr>
      <w:r>
        <w:t>17.1</w:t>
      </w:r>
      <w:r>
        <w:t>. paruoštų naudoti patalpų vidaus ir išorės dažų produkte lakiųjų organinių junginių (LOJ), kurių pradinė virimo temperatūra, esant standartiniam 101,3 kPa slėgiui, yra ne aukštesnė kaip 250 ˚C, turi būti ne daugiau kaip:</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237"/>
        <w:gridCol w:w="2127"/>
      </w:tblGrid>
      <w:tr>
        <w:tc>
          <w:tcPr>
            <w:tcW w:w="56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Eil. Nr.</w:t>
            </w:r>
          </w:p>
        </w:tc>
        <w:tc>
          <w:tcPr>
            <w:tcW w:w="623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Produkto aprašymas</w:t>
            </w:r>
          </w:p>
        </w:tc>
        <w:tc>
          <w:tcPr>
            <w:tcW w:w="212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LOJ ribinė vertė, g/l (įskaitant vandenį)</w:t>
            </w:r>
          </w:p>
        </w:tc>
      </w:tr>
      <w:tr>
        <w:tc>
          <w:tcPr>
            <w:tcW w:w="56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1.</w:t>
            </w:r>
          </w:p>
        </w:tc>
        <w:tc>
          <w:tcPr>
            <w:tcW w:w="6237" w:type="dxa"/>
            <w:tcBorders>
              <w:top w:val="single" w:sz="4" w:space="0" w:color="auto"/>
              <w:left w:val="single" w:sz="4" w:space="0" w:color="auto"/>
              <w:bottom w:val="single" w:sz="4" w:space="0" w:color="auto"/>
              <w:right w:val="single" w:sz="4" w:space="0" w:color="auto"/>
            </w:tcBorders>
            <w:hideMark/>
          </w:tcPr>
          <w:p>
            <w:pPr>
              <w:rPr>
                <w:sz w:val="22"/>
                <w:szCs w:val="22"/>
              </w:rPr>
            </w:pPr>
            <w:r>
              <w:rPr>
                <w:sz w:val="22"/>
                <w:szCs w:val="22"/>
              </w:rPr>
              <w:t>Vidinių sienų ir lubų matinės dangos (blizgesys esant 60º kampui, mažesnis kaip 25) dengimo medžiagos</w:t>
            </w:r>
          </w:p>
        </w:tc>
        <w:tc>
          <w:tcPr>
            <w:tcW w:w="212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15</w:t>
            </w:r>
          </w:p>
        </w:tc>
      </w:tr>
      <w:tr>
        <w:tc>
          <w:tcPr>
            <w:tcW w:w="56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2.</w:t>
            </w:r>
          </w:p>
        </w:tc>
        <w:tc>
          <w:tcPr>
            <w:tcW w:w="6237" w:type="dxa"/>
            <w:tcBorders>
              <w:top w:val="single" w:sz="4" w:space="0" w:color="auto"/>
              <w:left w:val="single" w:sz="4" w:space="0" w:color="auto"/>
              <w:bottom w:val="single" w:sz="4" w:space="0" w:color="auto"/>
              <w:right w:val="single" w:sz="4" w:space="0" w:color="auto"/>
            </w:tcBorders>
            <w:hideMark/>
          </w:tcPr>
          <w:p>
            <w:pPr>
              <w:rPr>
                <w:sz w:val="22"/>
                <w:szCs w:val="22"/>
              </w:rPr>
            </w:pPr>
            <w:r>
              <w:rPr>
                <w:sz w:val="22"/>
                <w:szCs w:val="22"/>
              </w:rPr>
              <w:t>Vidinių sienų ir lubų blizgiosios dangos (blizgesys esant 60º kampui, mažesnis kaip 25) dengimo medžiagos</w:t>
            </w:r>
          </w:p>
        </w:tc>
        <w:tc>
          <w:tcPr>
            <w:tcW w:w="212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60</w:t>
            </w:r>
          </w:p>
        </w:tc>
      </w:tr>
      <w:tr>
        <w:tc>
          <w:tcPr>
            <w:tcW w:w="56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3.</w:t>
            </w:r>
          </w:p>
        </w:tc>
        <w:tc>
          <w:tcPr>
            <w:tcW w:w="6237" w:type="dxa"/>
            <w:tcBorders>
              <w:top w:val="single" w:sz="4" w:space="0" w:color="auto"/>
              <w:left w:val="single" w:sz="4" w:space="0" w:color="auto"/>
              <w:bottom w:val="single" w:sz="4" w:space="0" w:color="auto"/>
              <w:right w:val="single" w:sz="4" w:space="0" w:color="auto"/>
            </w:tcBorders>
            <w:hideMark/>
          </w:tcPr>
          <w:p>
            <w:pPr>
              <w:rPr>
                <w:sz w:val="22"/>
                <w:szCs w:val="22"/>
              </w:rPr>
            </w:pPr>
            <w:r>
              <w:rPr>
                <w:sz w:val="22"/>
                <w:szCs w:val="22"/>
              </w:rPr>
              <w:t>Išorinių sienų mineraliniam pagrindui skirtos dangos</w:t>
            </w:r>
          </w:p>
        </w:tc>
        <w:tc>
          <w:tcPr>
            <w:tcW w:w="212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30</w:t>
            </w:r>
          </w:p>
        </w:tc>
      </w:tr>
      <w:tr>
        <w:tc>
          <w:tcPr>
            <w:tcW w:w="56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4.</w:t>
            </w:r>
          </w:p>
        </w:tc>
        <w:tc>
          <w:tcPr>
            <w:tcW w:w="6237" w:type="dxa"/>
            <w:tcBorders>
              <w:top w:val="single" w:sz="4" w:space="0" w:color="auto"/>
              <w:left w:val="single" w:sz="4" w:space="0" w:color="auto"/>
              <w:bottom w:val="single" w:sz="4" w:space="0" w:color="auto"/>
              <w:right w:val="single" w:sz="4" w:space="0" w:color="auto"/>
            </w:tcBorders>
            <w:hideMark/>
          </w:tcPr>
          <w:p>
            <w:pPr>
              <w:rPr>
                <w:sz w:val="22"/>
                <w:szCs w:val="22"/>
              </w:rPr>
            </w:pPr>
            <w:r>
              <w:rPr>
                <w:sz w:val="22"/>
                <w:szCs w:val="22"/>
              </w:rPr>
              <w:t>Vidaus ir (ar) išorės apdailos ir padengimo dažai medienai ir metalui</w:t>
            </w:r>
          </w:p>
        </w:tc>
        <w:tc>
          <w:tcPr>
            <w:tcW w:w="212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90</w:t>
            </w:r>
          </w:p>
        </w:tc>
      </w:tr>
      <w:tr>
        <w:tc>
          <w:tcPr>
            <w:tcW w:w="56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5.</w:t>
            </w:r>
          </w:p>
        </w:tc>
        <w:tc>
          <w:tcPr>
            <w:tcW w:w="6237" w:type="dxa"/>
            <w:tcBorders>
              <w:top w:val="single" w:sz="4" w:space="0" w:color="auto"/>
              <w:left w:val="single" w:sz="4" w:space="0" w:color="auto"/>
              <w:bottom w:val="single" w:sz="4" w:space="0" w:color="auto"/>
              <w:right w:val="single" w:sz="4" w:space="0" w:color="auto"/>
            </w:tcBorders>
            <w:hideMark/>
          </w:tcPr>
          <w:p>
            <w:pPr>
              <w:rPr>
                <w:sz w:val="22"/>
                <w:szCs w:val="22"/>
              </w:rPr>
            </w:pPr>
            <w:r>
              <w:rPr>
                <w:sz w:val="22"/>
                <w:szCs w:val="22"/>
              </w:rPr>
              <w:t>Vidaus apdailos lakai ir medienos beicai, įskaitant neskaidrius medienos beicus</w:t>
            </w:r>
          </w:p>
        </w:tc>
        <w:tc>
          <w:tcPr>
            <w:tcW w:w="212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75</w:t>
            </w:r>
          </w:p>
        </w:tc>
      </w:tr>
      <w:tr>
        <w:tc>
          <w:tcPr>
            <w:tcW w:w="56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6.</w:t>
            </w:r>
          </w:p>
        </w:tc>
        <w:tc>
          <w:tcPr>
            <w:tcW w:w="6237" w:type="dxa"/>
            <w:tcBorders>
              <w:top w:val="single" w:sz="4" w:space="0" w:color="auto"/>
              <w:left w:val="single" w:sz="4" w:space="0" w:color="auto"/>
              <w:bottom w:val="single" w:sz="4" w:space="0" w:color="auto"/>
              <w:right w:val="single" w:sz="4" w:space="0" w:color="auto"/>
            </w:tcBorders>
            <w:hideMark/>
          </w:tcPr>
          <w:p>
            <w:pPr>
              <w:rPr>
                <w:sz w:val="22"/>
                <w:szCs w:val="22"/>
              </w:rPr>
            </w:pPr>
            <w:r>
              <w:rPr>
                <w:sz w:val="22"/>
                <w:szCs w:val="22"/>
              </w:rPr>
              <w:t>Išorės apdailos lakai ir medienos beicai, įskaitant neskaidrius medienos beicus</w:t>
            </w:r>
          </w:p>
        </w:tc>
        <w:tc>
          <w:tcPr>
            <w:tcW w:w="212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90</w:t>
            </w:r>
          </w:p>
        </w:tc>
      </w:tr>
      <w:tr>
        <w:tc>
          <w:tcPr>
            <w:tcW w:w="56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7.</w:t>
            </w:r>
          </w:p>
        </w:tc>
        <w:tc>
          <w:tcPr>
            <w:tcW w:w="6237" w:type="dxa"/>
            <w:tcBorders>
              <w:top w:val="single" w:sz="4" w:space="0" w:color="auto"/>
              <w:left w:val="single" w:sz="4" w:space="0" w:color="auto"/>
              <w:bottom w:val="single" w:sz="4" w:space="0" w:color="auto"/>
              <w:right w:val="single" w:sz="4" w:space="0" w:color="auto"/>
            </w:tcBorders>
            <w:hideMark/>
          </w:tcPr>
          <w:p>
            <w:pPr>
              <w:rPr>
                <w:sz w:val="22"/>
                <w:szCs w:val="22"/>
              </w:rPr>
            </w:pPr>
            <w:r>
              <w:rPr>
                <w:sz w:val="22"/>
                <w:szCs w:val="22"/>
              </w:rPr>
              <w:t xml:space="preserve">Vidaus ir išorės plonasluoksniai medienos beicai </w:t>
            </w:r>
          </w:p>
        </w:tc>
        <w:tc>
          <w:tcPr>
            <w:tcW w:w="212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75</w:t>
            </w:r>
          </w:p>
        </w:tc>
      </w:tr>
      <w:tr>
        <w:tc>
          <w:tcPr>
            <w:tcW w:w="56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8.</w:t>
            </w:r>
          </w:p>
        </w:tc>
        <w:tc>
          <w:tcPr>
            <w:tcW w:w="6237" w:type="dxa"/>
            <w:tcBorders>
              <w:top w:val="single" w:sz="4" w:space="0" w:color="auto"/>
              <w:left w:val="single" w:sz="4" w:space="0" w:color="auto"/>
              <w:bottom w:val="single" w:sz="4" w:space="0" w:color="auto"/>
              <w:right w:val="single" w:sz="4" w:space="0" w:color="auto"/>
            </w:tcBorders>
            <w:hideMark/>
          </w:tcPr>
          <w:p>
            <w:pPr>
              <w:rPr>
                <w:sz w:val="22"/>
                <w:szCs w:val="22"/>
              </w:rPr>
            </w:pPr>
            <w:r>
              <w:rPr>
                <w:sz w:val="22"/>
                <w:szCs w:val="22"/>
              </w:rPr>
              <w:t xml:space="preserve">Gruntai ir rišamieji gruntai </w:t>
            </w:r>
          </w:p>
        </w:tc>
        <w:tc>
          <w:tcPr>
            <w:tcW w:w="212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15</w:t>
            </w:r>
          </w:p>
        </w:tc>
      </w:tr>
      <w:tr>
        <w:tc>
          <w:tcPr>
            <w:tcW w:w="56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9.</w:t>
            </w:r>
          </w:p>
        </w:tc>
        <w:tc>
          <w:tcPr>
            <w:tcW w:w="6237" w:type="dxa"/>
            <w:tcBorders>
              <w:top w:val="single" w:sz="4" w:space="0" w:color="auto"/>
              <w:left w:val="single" w:sz="4" w:space="0" w:color="auto"/>
              <w:bottom w:val="single" w:sz="4" w:space="0" w:color="auto"/>
              <w:right w:val="single" w:sz="4" w:space="0" w:color="auto"/>
            </w:tcBorders>
            <w:hideMark/>
          </w:tcPr>
          <w:p>
            <w:pPr>
              <w:rPr>
                <w:sz w:val="22"/>
                <w:szCs w:val="22"/>
              </w:rPr>
            </w:pPr>
            <w:r>
              <w:rPr>
                <w:sz w:val="22"/>
                <w:szCs w:val="22"/>
              </w:rPr>
              <w:t>Rišamieji gruntai</w:t>
            </w:r>
          </w:p>
        </w:tc>
        <w:tc>
          <w:tcPr>
            <w:tcW w:w="212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15</w:t>
            </w:r>
          </w:p>
        </w:tc>
      </w:tr>
      <w:tr>
        <w:tc>
          <w:tcPr>
            <w:tcW w:w="56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10.</w:t>
            </w:r>
          </w:p>
        </w:tc>
        <w:tc>
          <w:tcPr>
            <w:tcW w:w="6237" w:type="dxa"/>
            <w:tcBorders>
              <w:top w:val="single" w:sz="4" w:space="0" w:color="auto"/>
              <w:left w:val="single" w:sz="4" w:space="0" w:color="auto"/>
              <w:bottom w:val="single" w:sz="4" w:space="0" w:color="auto"/>
              <w:right w:val="single" w:sz="4" w:space="0" w:color="auto"/>
            </w:tcBorders>
            <w:hideMark/>
          </w:tcPr>
          <w:p>
            <w:pPr>
              <w:rPr>
                <w:sz w:val="22"/>
                <w:szCs w:val="22"/>
              </w:rPr>
            </w:pPr>
            <w:r>
              <w:rPr>
                <w:sz w:val="22"/>
                <w:szCs w:val="22"/>
              </w:rPr>
              <w:t>Vienkomponentės dangos dengimo medžiagos</w:t>
            </w:r>
          </w:p>
        </w:tc>
        <w:tc>
          <w:tcPr>
            <w:tcW w:w="212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100</w:t>
            </w:r>
          </w:p>
        </w:tc>
      </w:tr>
      <w:tr>
        <w:tc>
          <w:tcPr>
            <w:tcW w:w="56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11.</w:t>
            </w:r>
          </w:p>
        </w:tc>
        <w:tc>
          <w:tcPr>
            <w:tcW w:w="6237" w:type="dxa"/>
            <w:tcBorders>
              <w:top w:val="single" w:sz="4" w:space="0" w:color="auto"/>
              <w:left w:val="single" w:sz="4" w:space="0" w:color="auto"/>
              <w:bottom w:val="single" w:sz="4" w:space="0" w:color="auto"/>
              <w:right w:val="single" w:sz="4" w:space="0" w:color="auto"/>
            </w:tcBorders>
            <w:hideMark/>
          </w:tcPr>
          <w:p>
            <w:pPr>
              <w:rPr>
                <w:sz w:val="22"/>
                <w:szCs w:val="22"/>
              </w:rPr>
            </w:pPr>
            <w:r>
              <w:rPr>
                <w:sz w:val="22"/>
                <w:szCs w:val="22"/>
              </w:rPr>
              <w:t xml:space="preserve">Dvikomponentės reaktyviosios dangos, skirtos specialiam galutiniam naudojimui (pvz., grindims) </w:t>
            </w:r>
          </w:p>
        </w:tc>
        <w:tc>
          <w:tcPr>
            <w:tcW w:w="212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100</w:t>
            </w:r>
          </w:p>
        </w:tc>
      </w:tr>
      <w:tr>
        <w:tc>
          <w:tcPr>
            <w:tcW w:w="56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12.</w:t>
            </w:r>
          </w:p>
        </w:tc>
        <w:tc>
          <w:tcPr>
            <w:tcW w:w="6237" w:type="dxa"/>
            <w:tcBorders>
              <w:top w:val="single" w:sz="4" w:space="0" w:color="auto"/>
              <w:left w:val="single" w:sz="4" w:space="0" w:color="auto"/>
              <w:bottom w:val="single" w:sz="4" w:space="0" w:color="auto"/>
              <w:right w:val="single" w:sz="4" w:space="0" w:color="auto"/>
            </w:tcBorders>
            <w:hideMark/>
          </w:tcPr>
          <w:p>
            <w:pPr>
              <w:rPr>
                <w:sz w:val="22"/>
                <w:szCs w:val="22"/>
              </w:rPr>
            </w:pPr>
            <w:r>
              <w:rPr>
                <w:sz w:val="22"/>
                <w:szCs w:val="22"/>
              </w:rPr>
              <w:t>Dekoratyvinės dangos</w:t>
            </w:r>
          </w:p>
        </w:tc>
        <w:tc>
          <w:tcPr>
            <w:tcW w:w="212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90</w:t>
            </w:r>
          </w:p>
        </w:tc>
      </w:tr>
      <w:tr>
        <w:tc>
          <w:tcPr>
            <w:tcW w:w="56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13.</w:t>
            </w:r>
          </w:p>
        </w:tc>
        <w:tc>
          <w:tcPr>
            <w:tcW w:w="6237" w:type="dxa"/>
            <w:tcBorders>
              <w:top w:val="single" w:sz="4" w:space="0" w:color="auto"/>
              <w:left w:val="single" w:sz="4" w:space="0" w:color="auto"/>
              <w:bottom w:val="single" w:sz="4" w:space="0" w:color="auto"/>
              <w:right w:val="single" w:sz="4" w:space="0" w:color="auto"/>
            </w:tcBorders>
            <w:hideMark/>
          </w:tcPr>
          <w:p>
            <w:pPr>
              <w:rPr>
                <w:sz w:val="22"/>
                <w:szCs w:val="22"/>
              </w:rPr>
            </w:pPr>
            <w:r>
              <w:rPr>
                <w:sz w:val="22"/>
                <w:szCs w:val="22"/>
              </w:rPr>
              <w:t xml:space="preserve">Antikoroziniai dažai </w:t>
            </w:r>
          </w:p>
        </w:tc>
        <w:tc>
          <w:tcPr>
            <w:tcW w:w="2127" w:type="dxa"/>
            <w:tcBorders>
              <w:top w:val="single" w:sz="4" w:space="0" w:color="auto"/>
              <w:left w:val="single" w:sz="4" w:space="0" w:color="auto"/>
              <w:bottom w:val="single" w:sz="4" w:space="0" w:color="auto"/>
              <w:right w:val="single" w:sz="4" w:space="0" w:color="auto"/>
            </w:tcBorders>
            <w:hideMark/>
          </w:tcPr>
          <w:p>
            <w:pPr>
              <w:jc w:val="center"/>
              <w:rPr>
                <w:sz w:val="22"/>
                <w:szCs w:val="22"/>
              </w:rPr>
            </w:pPr>
            <w:r>
              <w:rPr>
                <w:sz w:val="22"/>
                <w:szCs w:val="22"/>
              </w:rPr>
              <w:t>80</w:t>
            </w:r>
          </w:p>
        </w:tc>
      </w:tr>
    </w:tbl>
    <w:p>
      <w:pPr>
        <w:suppressAutoHyphens/>
        <w:ind w:firstLine="851"/>
        <w:jc w:val="both"/>
        <w:rPr>
          <w:bCs/>
          <w:szCs w:val="24"/>
          <w:lang w:eastAsia="en-GB"/>
        </w:rPr>
      </w:pPr>
    </w:p>
    <w:p>
      <w:pPr>
        <w:suppressAutoHyphens/>
        <w:ind w:firstLine="851"/>
        <w:jc w:val="both"/>
      </w:pPr>
      <w:r>
        <w:t>17.2</w:t>
      </w:r>
      <w:r>
        <w:t xml:space="preserve">. patalpų vidaus ir išorės dažų sudėtyje neturi būti daugiau kaip 0,01 proc. pagal masę pavojingų cheminių medžiagų, klasifikuojamų priskiriant bet kurią iš nurodytų pavojingumo frazę pagal Reglamentą (EB) Nr. 1272/2008: toksiškos ar labai toksiškos (H300, H301, H304, H310, H311, H330, H331), toksiška patekus į akis (EUH070), kenkia organams (H370), galinčios pakenkti organams (H371), veikdamos ilgą laiką pakenkia kai kuriems organams (H372, H373), galinčios sukelti alerginę odos reakciją (H317), įkvėpus gali sukelti alerginę reakciją, astmos simptomus arba apsunkinti kvėpavimą (H334), sukeliančios paveldimus genetinius defektus (H340, H341), kancerogeninės (H350, H350i, H351), toksiškos reprodukcijai (H360D, H360F, H360FD, H360Fd, H360Df, H361f, H361d, H361fd, H362), pavojingos vandens aplinkai H400, H410, H411, H412), gali sukelti ilgalaikį kenksmingą poveikį vandens organizmams (H413), pavojinga ozono sluoksniui (EUH059). </w:t>
      </w:r>
    </w:p>
    <w:p>
      <w:pPr>
        <w:keepNext/>
        <w:suppressAutoHyphens/>
        <w:jc w:val="center"/>
        <w:rPr>
          <w:b/>
          <w:bCs/>
        </w:rPr>
      </w:pPr>
    </w:p>
    <w:p>
      <w:pPr>
        <w:ind w:firstLine="851"/>
        <w:jc w:val="both"/>
        <w:rPr>
          <w:bCs/>
          <w:szCs w:val="24"/>
        </w:rPr>
      </w:pPr>
      <w:r>
        <w:rPr>
          <w:bCs/>
          <w:szCs w:val="24"/>
        </w:rPr>
        <w:t>18</w:t>
      </w:r>
      <w:r>
        <w:rPr>
          <w:bCs/>
          <w:szCs w:val="24"/>
        </w:rPr>
        <w:t>. Termoizoliacinės medžiagos:</w:t>
      </w:r>
    </w:p>
    <w:p>
      <w:pPr>
        <w:ind w:firstLine="851"/>
        <w:jc w:val="both"/>
        <w:rPr>
          <w:szCs w:val="24"/>
        </w:rPr>
      </w:pPr>
      <w:r>
        <w:rPr>
          <w:szCs w:val="24"/>
        </w:rPr>
        <w:t>18.1</w:t>
      </w:r>
      <w:r>
        <w:rPr>
          <w:szCs w:val="24"/>
        </w:rPr>
        <w:t>. produktas neturi išskirti šių cheminių medžiagų:</w:t>
      </w:r>
    </w:p>
    <w:p>
      <w:pPr>
        <w:ind w:firstLine="851"/>
        <w:jc w:val="both"/>
        <w:rPr>
          <w:szCs w:val="24"/>
        </w:rPr>
      </w:pPr>
      <w:r>
        <w:rPr>
          <w:szCs w:val="24"/>
        </w:rPr>
        <w:t>18.1.1</w:t>
      </w:r>
      <w:r>
        <w:rPr>
          <w:szCs w:val="24"/>
        </w:rPr>
        <w:t xml:space="preserve">. fluorintų šiltnamio efektą sukeliančių dujų pagal Europos Parlamento ir Tarybos reglamentą (EB) Nr. 842/2006 dėl fluorintų šiltnamio efektą sukeliančių dujų; </w:t>
      </w:r>
    </w:p>
    <w:p>
      <w:pPr>
        <w:ind w:firstLine="851"/>
        <w:jc w:val="both"/>
        <w:rPr>
          <w:bCs/>
          <w:szCs w:val="24"/>
        </w:rPr>
      </w:pPr>
      <w:r>
        <w:rPr>
          <w:szCs w:val="24"/>
        </w:rPr>
        <w:t>18.1.2</w:t>
      </w:r>
      <w:r>
        <w:rPr>
          <w:szCs w:val="24"/>
        </w:rPr>
        <w:t>. pavojingų cheminių medžiagų</w:t>
      </w:r>
      <w:r>
        <w:rPr>
          <w:bCs/>
          <w:szCs w:val="24"/>
          <w:lang w:eastAsia="lt-LT"/>
        </w:rPr>
        <w:t>, klasifikuojamų priskiriant bet kurią iš nurodytų pavojingumo frazę pagal R</w:t>
      </w:r>
      <w:r>
        <w:rPr>
          <w:bCs/>
          <w:szCs w:val="24"/>
        </w:rPr>
        <w:t>eglamentą (EB) Nr. 1272/2008</w:t>
      </w:r>
      <w:r>
        <w:rPr>
          <w:szCs w:val="24"/>
        </w:rPr>
        <w:t xml:space="preserve">: </w:t>
      </w:r>
      <w:r>
        <w:rPr>
          <w:bCs/>
          <w:szCs w:val="24"/>
        </w:rPr>
        <w:t>kancerogeninės (H350, H350i, H351), toksiškos reprodukcijai (H360D, H360F, H360FD, H360Fd, H360Df, H361f, H361d, H361fd), toksiškos ar labai toksiškos (H300, H301, H310, H311, H330, H331), įkvėpus gali sukelti alerginę reakciją, astmos simptomus arba apsunkinti kvėpavimą (H334), sukeliančios paveldimus genetinius defektus (H340, H341), veikdamos ilgą laiką pakenkia kai kuriems organams (H372, H373), galinčios pakenkti organams (H371), pavojingos vandens aplinkai (H411);</w:t>
      </w:r>
    </w:p>
    <w:p>
      <w:pPr>
        <w:ind w:firstLine="851"/>
        <w:jc w:val="both"/>
        <w:rPr>
          <w:lang w:val="en-US"/>
        </w:rPr>
      </w:pPr>
      <w:r>
        <w:t>18.2</w:t>
      </w:r>
      <w:r>
        <w:t>. produktų, pagamintų medienos pagrindu (pvz., kamštinė medžiaga, celiuliozė), gamyboje naudojama mediena ar jos dalis turi būti iš miškų, sertifikuotų naudojant FSC ar PEFC miškų sertifikavimo sistemas arba lygiavertes sertifikavimo sistemas.</w:t>
      </w:r>
    </w:p>
    <w:p>
      <w:pPr>
        <w:ind w:firstLine="851"/>
        <w:jc w:val="both"/>
        <w:rPr>
          <w:szCs w:val="24"/>
        </w:rPr>
      </w:pPr>
    </w:p>
    <w:p>
      <w:pPr>
        <w:ind w:firstLine="851"/>
        <w:jc w:val="both"/>
        <w:rPr>
          <w:szCs w:val="24"/>
        </w:rPr>
      </w:pPr>
      <w:r>
        <w:rPr>
          <w:szCs w:val="24"/>
        </w:rPr>
        <w:t>19</w:t>
      </w:r>
      <w:r>
        <w:rPr>
          <w:szCs w:val="24"/>
        </w:rPr>
        <w:t>. Gipso plokštės:</w:t>
      </w:r>
    </w:p>
    <w:p>
      <w:pPr>
        <w:tabs>
          <w:tab w:val="left" w:pos="318"/>
        </w:tabs>
        <w:ind w:firstLine="851"/>
        <w:jc w:val="both"/>
        <w:rPr>
          <w:lang w:eastAsia="lt-LT"/>
        </w:rPr>
      </w:pPr>
      <w:r>
        <w:t>19.</w:t>
      </w:r>
      <w:r>
        <w:rPr>
          <w:smallCaps/>
          <w:lang w:eastAsia="lt-LT"/>
        </w:rPr>
        <w:t>1</w:t>
      </w:r>
      <w:r>
        <w:rPr>
          <w:smallCaps/>
          <w:lang w:eastAsia="lt-LT"/>
        </w:rPr>
        <w:t xml:space="preserve">. </w:t>
      </w:r>
      <w:r>
        <w:rPr>
          <w:lang w:eastAsia="lt-LT"/>
        </w:rPr>
        <w:t>gipso plokščių sudėtyje turi būti ne mažiau kaip 2 proc. perdirbtų medžiagų;</w:t>
      </w:r>
    </w:p>
    <w:p>
      <w:pPr>
        <w:suppressAutoHyphens/>
        <w:ind w:firstLine="851"/>
        <w:jc w:val="both"/>
        <w:rPr>
          <w:lang w:eastAsia="lt-LT"/>
        </w:rPr>
      </w:pPr>
      <w:r>
        <w:rPr>
          <w:lang w:eastAsia="lt-LT"/>
        </w:rPr>
        <w:t>19.2</w:t>
      </w:r>
      <w:r>
        <w:rPr>
          <w:lang w:eastAsia="lt-LT"/>
        </w:rPr>
        <w:t xml:space="preserve">. gipso plokščių gamybai naudojamas popierius </w:t>
      </w:r>
      <w:r>
        <w:rPr>
          <w:rFonts w:eastAsia="Cumberland"/>
          <w:color w:val="000000"/>
          <w:lang w:eastAsia="lt-LT"/>
        </w:rPr>
        <w:t xml:space="preserve">turi būti pagamintas iš 100 proc. perdirbto popieriaus plaušų ar </w:t>
      </w:r>
      <w:r>
        <w:rPr>
          <w:lang w:eastAsia="lt-LT"/>
        </w:rPr>
        <w:t xml:space="preserve">ne daugiau kaip 5 proc. pirminės medienos plaušų, gautų iš miškų, </w:t>
      </w:r>
      <w:r>
        <w:t>sertifikuotų naudojant FSC ar PEFC miškų sertifikavimo sistemas arba lygiavertes sertifikavimo sistemas</w:t>
      </w:r>
      <w:r>
        <w:rPr>
          <w:lang w:eastAsia="lt-LT"/>
        </w:rPr>
        <w:t>, kita dalis – iš perdirbto popieriaus plaušų.</w:t>
      </w:r>
    </w:p>
    <w:p>
      <w:pPr>
        <w:suppressAutoHyphens/>
        <w:ind w:firstLine="851"/>
        <w:jc w:val="both"/>
        <w:rPr>
          <w:lang w:eastAsia="lt-LT"/>
        </w:rPr>
      </w:pPr>
    </w:p>
    <w:p>
      <w:pPr>
        <w:ind w:firstLine="851"/>
        <w:jc w:val="both"/>
      </w:pPr>
      <w:r>
        <w:t>20</w:t>
      </w:r>
      <w:r>
        <w:t xml:space="preserve">. Plytelės: </w:t>
      </w:r>
    </w:p>
    <w:p>
      <w:pPr>
        <w:ind w:firstLine="851"/>
        <w:jc w:val="both"/>
        <w:rPr>
          <w:szCs w:val="24"/>
        </w:rPr>
      </w:pPr>
      <w:r>
        <w:t>20.1</w:t>
      </w:r>
      <w:r>
        <w:t xml:space="preserve">. produkto žaliavoje neturi būti pavojingų cheminių medžiagų ar jų junginių, </w:t>
      </w:r>
      <w:r>
        <w:rPr>
          <w:lang w:eastAsia="lt-LT"/>
        </w:rPr>
        <w:t>klasifikuojamų priskiriant bet kurią iš nurodytų pavojingumo frazę pagal R</w:t>
      </w:r>
      <w:r>
        <w:t xml:space="preserve">eglamentą (EB) Nr. 1272/2008: kancerogeninės (H350, H350i), toksiškos reprodukcijai (H360D, H360F, H360FD, H360Fd, H360Df, H361f, H361d, H361fd,), sukeliančios paveldimus genetinius defektus (H340, H341), veikdamos ilgą laiką pakenkia kai kuriems organams (H372, H373), galinčios pakenkti organams (H371), pavojingos vandens aplinkai (H400, H410, H411, H412, H413), </w:t>
      </w:r>
      <w:r>
        <w:rPr>
          <w:rFonts w:eastAsia="Calibri"/>
          <w:lang w:eastAsia="lt-LT"/>
        </w:rPr>
        <w:t>pavojingos ozono sluoksniui</w:t>
      </w:r>
      <w:r>
        <w:t xml:space="preserve"> (EUH059);</w:t>
      </w:r>
    </w:p>
    <w:p>
      <w:pPr>
        <w:ind w:firstLine="851"/>
        <w:jc w:val="both"/>
      </w:pPr>
      <w:r>
        <w:t>20.2</w:t>
      </w:r>
      <w:r>
        <w:t>. glazūruotų plytelių prieduose naudojamo švino, kadmio ir stibio (arba jų junginių) turi būti ne daugiau kaip:</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2694"/>
      </w:tblGrid>
      <w:tr>
        <w:tc>
          <w:tcPr>
            <w:tcW w:w="709" w:type="dxa"/>
          </w:tcPr>
          <w:p>
            <w:pPr>
              <w:jc w:val="center"/>
              <w:rPr>
                <w:sz w:val="22"/>
                <w:szCs w:val="22"/>
              </w:rPr>
            </w:pPr>
            <w:r>
              <w:rPr>
                <w:sz w:val="22"/>
                <w:szCs w:val="22"/>
              </w:rPr>
              <w:t>Eil.</w:t>
            </w:r>
          </w:p>
          <w:p>
            <w:pPr>
              <w:jc w:val="center"/>
              <w:rPr>
                <w:sz w:val="22"/>
                <w:szCs w:val="22"/>
              </w:rPr>
            </w:pPr>
            <w:r>
              <w:rPr>
                <w:sz w:val="22"/>
                <w:szCs w:val="22"/>
              </w:rPr>
              <w:t>Nr.</w:t>
            </w:r>
          </w:p>
        </w:tc>
        <w:tc>
          <w:tcPr>
            <w:tcW w:w="2126" w:type="dxa"/>
          </w:tcPr>
          <w:p>
            <w:pPr>
              <w:jc w:val="center"/>
              <w:rPr>
                <w:sz w:val="22"/>
                <w:szCs w:val="22"/>
              </w:rPr>
            </w:pPr>
            <w:r>
              <w:rPr>
                <w:sz w:val="22"/>
                <w:szCs w:val="22"/>
              </w:rPr>
              <w:t>Pavadinimas</w:t>
            </w:r>
          </w:p>
        </w:tc>
        <w:tc>
          <w:tcPr>
            <w:tcW w:w="2694" w:type="dxa"/>
          </w:tcPr>
          <w:p>
            <w:pPr>
              <w:jc w:val="center"/>
              <w:rPr>
                <w:sz w:val="22"/>
                <w:szCs w:val="22"/>
              </w:rPr>
            </w:pPr>
            <w:r>
              <w:rPr>
                <w:sz w:val="22"/>
                <w:szCs w:val="22"/>
              </w:rPr>
              <w:t>Ribinė vertė,</w:t>
            </w:r>
          </w:p>
          <w:p>
            <w:pPr>
              <w:jc w:val="center"/>
              <w:rPr>
                <w:sz w:val="22"/>
                <w:szCs w:val="22"/>
              </w:rPr>
            </w:pPr>
            <w:r>
              <w:rPr>
                <w:sz w:val="22"/>
                <w:szCs w:val="22"/>
              </w:rPr>
              <w:t>proc. nuo glazūrų svorio</w:t>
            </w:r>
          </w:p>
        </w:tc>
      </w:tr>
      <w:tr>
        <w:tc>
          <w:tcPr>
            <w:tcW w:w="709" w:type="dxa"/>
          </w:tcPr>
          <w:p>
            <w:pPr>
              <w:jc w:val="center"/>
              <w:rPr>
                <w:sz w:val="22"/>
                <w:szCs w:val="22"/>
              </w:rPr>
            </w:pPr>
            <w:r>
              <w:rPr>
                <w:sz w:val="22"/>
                <w:szCs w:val="22"/>
              </w:rPr>
              <w:t>1.</w:t>
            </w:r>
          </w:p>
        </w:tc>
        <w:tc>
          <w:tcPr>
            <w:tcW w:w="2126" w:type="dxa"/>
          </w:tcPr>
          <w:p>
            <w:pPr>
              <w:rPr>
                <w:sz w:val="22"/>
                <w:szCs w:val="22"/>
              </w:rPr>
            </w:pPr>
            <w:r>
              <w:rPr>
                <w:sz w:val="22"/>
                <w:szCs w:val="22"/>
              </w:rPr>
              <w:t>Švinas (Pb)</w:t>
            </w:r>
          </w:p>
        </w:tc>
        <w:tc>
          <w:tcPr>
            <w:tcW w:w="2694" w:type="dxa"/>
          </w:tcPr>
          <w:p>
            <w:pPr>
              <w:jc w:val="center"/>
              <w:rPr>
                <w:sz w:val="22"/>
                <w:szCs w:val="22"/>
              </w:rPr>
            </w:pPr>
            <w:r>
              <w:rPr>
                <w:sz w:val="22"/>
                <w:szCs w:val="22"/>
              </w:rPr>
              <w:t>0,5</w:t>
            </w:r>
          </w:p>
        </w:tc>
      </w:tr>
      <w:tr>
        <w:tc>
          <w:tcPr>
            <w:tcW w:w="709" w:type="dxa"/>
          </w:tcPr>
          <w:p>
            <w:pPr>
              <w:jc w:val="center"/>
              <w:rPr>
                <w:sz w:val="22"/>
                <w:szCs w:val="22"/>
              </w:rPr>
            </w:pPr>
            <w:r>
              <w:rPr>
                <w:sz w:val="22"/>
                <w:szCs w:val="22"/>
              </w:rPr>
              <w:t>2.</w:t>
            </w:r>
          </w:p>
        </w:tc>
        <w:tc>
          <w:tcPr>
            <w:tcW w:w="2126" w:type="dxa"/>
          </w:tcPr>
          <w:p>
            <w:pPr>
              <w:rPr>
                <w:sz w:val="22"/>
                <w:szCs w:val="22"/>
              </w:rPr>
            </w:pPr>
            <w:r>
              <w:rPr>
                <w:sz w:val="22"/>
                <w:szCs w:val="22"/>
              </w:rPr>
              <w:t>Kadmis (Cd)</w:t>
            </w:r>
          </w:p>
        </w:tc>
        <w:tc>
          <w:tcPr>
            <w:tcW w:w="2694" w:type="dxa"/>
          </w:tcPr>
          <w:p>
            <w:pPr>
              <w:jc w:val="center"/>
              <w:rPr>
                <w:sz w:val="22"/>
                <w:szCs w:val="22"/>
              </w:rPr>
            </w:pPr>
            <w:r>
              <w:rPr>
                <w:sz w:val="22"/>
                <w:szCs w:val="22"/>
              </w:rPr>
              <w:t>0,1</w:t>
            </w:r>
          </w:p>
        </w:tc>
      </w:tr>
      <w:tr>
        <w:tc>
          <w:tcPr>
            <w:tcW w:w="709" w:type="dxa"/>
          </w:tcPr>
          <w:p>
            <w:pPr>
              <w:jc w:val="center"/>
              <w:rPr>
                <w:sz w:val="22"/>
                <w:szCs w:val="22"/>
              </w:rPr>
            </w:pPr>
            <w:r>
              <w:rPr>
                <w:sz w:val="22"/>
                <w:szCs w:val="22"/>
              </w:rPr>
              <w:t>3.</w:t>
            </w:r>
          </w:p>
        </w:tc>
        <w:tc>
          <w:tcPr>
            <w:tcW w:w="2126" w:type="dxa"/>
          </w:tcPr>
          <w:p>
            <w:pPr>
              <w:rPr>
                <w:sz w:val="22"/>
                <w:szCs w:val="22"/>
              </w:rPr>
            </w:pPr>
            <w:r>
              <w:rPr>
                <w:sz w:val="22"/>
                <w:szCs w:val="22"/>
              </w:rPr>
              <w:t>Stibis (Sb)</w:t>
            </w:r>
          </w:p>
        </w:tc>
        <w:tc>
          <w:tcPr>
            <w:tcW w:w="2694" w:type="dxa"/>
          </w:tcPr>
          <w:p>
            <w:pPr>
              <w:jc w:val="center"/>
              <w:rPr>
                <w:sz w:val="22"/>
                <w:szCs w:val="22"/>
              </w:rPr>
            </w:pPr>
            <w:r>
              <w:rPr>
                <w:sz w:val="22"/>
                <w:szCs w:val="22"/>
              </w:rPr>
              <w:t>0,25</w:t>
            </w:r>
          </w:p>
        </w:tc>
      </w:tr>
    </w:tbl>
    <w:p>
      <w:pPr>
        <w:jc w:val="both"/>
        <w:rPr>
          <w:rFonts w:eastAsia="Arial"/>
          <w:b/>
          <w:bCs/>
          <w:szCs w:val="24"/>
          <w:lang w:eastAsia="en-GB"/>
        </w:rPr>
      </w:pPr>
    </w:p>
    <w:p>
      <w:pPr>
        <w:ind w:firstLine="851"/>
        <w:jc w:val="both"/>
      </w:pPr>
      <w:r>
        <w:t>21</w:t>
      </w:r>
      <w:r>
        <w:t>. Langai, stoglangiai ir išorinės įstiklintos durys:</w:t>
      </w:r>
    </w:p>
    <w:p>
      <w:pPr>
        <w:ind w:firstLine="851"/>
        <w:jc w:val="both"/>
        <w:rPr>
          <w:szCs w:val="24"/>
        </w:rPr>
      </w:pPr>
      <w:r>
        <w:rPr>
          <w:szCs w:val="24"/>
        </w:rPr>
        <w:t>21.1</w:t>
      </w:r>
      <w:r>
        <w:rPr>
          <w:szCs w:val="24"/>
        </w:rPr>
        <w:t xml:space="preserve">. ne mažiau kaip 80 proc. langų gamybai naudojamos medienos turi būti gauta </w:t>
      </w:r>
      <w:r>
        <w:t>iš miškų, sertifikuotų naudojant FSC ar PEFC miškų sertifikavimo sistemas arba lygiavertes sertifikavimo sistemas</w:t>
      </w:r>
      <w:r>
        <w:rPr>
          <w:szCs w:val="24"/>
        </w:rPr>
        <w:t>;</w:t>
      </w:r>
    </w:p>
    <w:p>
      <w:pPr>
        <w:tabs>
          <w:tab w:val="left" w:pos="317"/>
        </w:tabs>
        <w:ind w:firstLine="851"/>
        <w:jc w:val="both"/>
      </w:pPr>
      <w:r>
        <w:t>21.</w:t>
      </w:r>
      <w:r>
        <w:rPr>
          <w:lang w:eastAsia="lt-LT"/>
        </w:rPr>
        <w:t>2</w:t>
      </w:r>
      <w:r>
        <w:rPr>
          <w:lang w:eastAsia="lt-LT"/>
        </w:rPr>
        <w:t xml:space="preserve">. </w:t>
      </w:r>
      <w:r>
        <w:t>visose plastikinėse detalėse, kurių masė ≥ 50 g, švino ar kadmio junginiai neturi viršyti 100 ppm;</w:t>
      </w:r>
    </w:p>
    <w:p>
      <w:pPr>
        <w:ind w:firstLine="851"/>
        <w:jc w:val="both"/>
      </w:pPr>
      <w:r>
        <w:t>21.3</w:t>
      </w:r>
      <w:r>
        <w:t>. visos plastikinės detalės, kurių masė ≥ 50 g, turi būti paženklintos pagal LST EN ISO 11469 ar lygiavertį standartą;</w:t>
      </w:r>
    </w:p>
    <w:p>
      <w:pPr>
        <w:ind w:firstLine="851"/>
        <w:jc w:val="both"/>
      </w:pPr>
      <w:r>
        <w:t>21.4</w:t>
      </w:r>
      <w:r>
        <w:t xml:space="preserve">. produkte neturi būti naudojamas  poveikį šiltnamio efektui darantis dujų užpildas, kurio globalinio šiltėjimo potencialas (GWP) &gt; 5 (per 100 metų laikotarpį);</w:t>
      </w:r>
    </w:p>
    <w:p>
      <w:pPr>
        <w:ind w:firstLine="851"/>
        <w:jc w:val="both"/>
      </w:pPr>
      <w:r>
        <w:t>21.</w:t>
      </w:r>
      <w:r>
        <w:rPr>
          <w:lang w:eastAsia="lt-LT"/>
        </w:rPr>
        <w:t>5</w:t>
      </w:r>
      <w:r>
        <w:rPr>
          <w:lang w:eastAsia="lt-LT"/>
        </w:rPr>
        <w:t xml:space="preserve">. produktas,  naudojamas normaliomis naudojimo sąlygomis, neturi išskirti </w:t>
      </w:r>
      <w:r>
        <w:t>pavojingų cheminių medžiagų</w:t>
      </w:r>
      <w:r>
        <w:rPr>
          <w:lang w:eastAsia="lt-LT"/>
        </w:rPr>
        <w:t xml:space="preserve">, klasifikuojamų priskiriant bet kurią iš nurodytų pavojingumo frazę pagal </w:t>
      </w:r>
      <w:r>
        <w:t>Europos Reglamentą (EB) Nr. 1272/2008: kancerogeninės (H350, H350i, H351), toksiškos reprodukcijai (H360D, H360F, H360FD, H360Fd, H360Df, H361f, H361d, H361fd), toksiškos ar labai toksiškos (H300, H301, H310, H311, H330, H331), įkvėpus gali sukelti alerginę reakciją, astmos simptomus arba apsunkinti kvėpavimą (H334), sukeliančios paveldimus genetinius defektus (H340, H341), veikdamos ilgą laiką pakenkia kai kuriems organams (H372, H373), galinčios pakenkti organams (H371), pavojingos vandens aplinkai (H400, H410, H411, H412, H413).</w:t>
      </w:r>
    </w:p>
    <w:p>
      <w:pPr>
        <w:jc w:val="both"/>
      </w:pPr>
    </w:p>
    <w:p>
      <w:pPr>
        <w:keepNext/>
        <w:jc w:val="center"/>
        <w:rPr>
          <w:b/>
          <w:bCs/>
          <w:szCs w:val="24"/>
        </w:rPr>
      </w:pPr>
      <w:r>
        <w:rPr>
          <w:b/>
          <w:bCs/>
          <w:szCs w:val="24"/>
        </w:rPr>
        <w:t>XIV</w:t>
      </w:r>
      <w:r>
        <w:rPr>
          <w:b/>
          <w:bCs/>
          <w:szCs w:val="24"/>
        </w:rPr>
        <w:t xml:space="preserve"> SKYRIUS</w:t>
      </w:r>
    </w:p>
    <w:p>
      <w:pPr>
        <w:keepNext/>
        <w:jc w:val="center"/>
        <w:rPr>
          <w:b/>
          <w:bCs/>
          <w:szCs w:val="24"/>
        </w:rPr>
      </w:pPr>
      <w:r>
        <w:rPr>
          <w:b/>
          <w:bCs/>
          <w:szCs w:val="24"/>
        </w:rPr>
        <w:t>PATALPŲ APŠVIETIMAS</w:t>
      </w:r>
    </w:p>
    <w:p>
      <w:pPr>
        <w:keepNext/>
        <w:jc w:val="center"/>
        <w:rPr>
          <w:b/>
          <w:bCs/>
          <w:szCs w:val="24"/>
        </w:rPr>
      </w:pPr>
    </w:p>
    <w:p>
      <w:pPr>
        <w:suppressAutoHyphens/>
        <w:ind w:firstLine="851"/>
        <w:jc w:val="both"/>
        <w:rPr>
          <w:rFonts w:eastAsia="Arial"/>
          <w:lang w:eastAsia="en-GB"/>
        </w:rPr>
      </w:pPr>
      <w:r>
        <w:rPr>
          <w:szCs w:val="24"/>
        </w:rPr>
        <w:t>22</w:t>
      </w:r>
      <w:r>
        <w:rPr>
          <w:szCs w:val="24"/>
        </w:rPr>
        <w:t>. Elektros lempos: prekės, įtrauktos į Lietuvos Respublikos energetikos ministro 2015 m. birželio 18 d. įsakymu Nr. 1-154 „Dėl Prekių, išskyrus kelių transporto priemones, kurioms viešųjų pirkimų metu taikomi energijos vartojimo efektyvumo reikalavimai, sąrašo patvirtinimo“ patvirtintą Prekių, išskyrus kelių transporto priemones, kurioms viešųjų pirkimų metu taikomi energijos vartojimo efektyvumo reikalavimai, sąrašą, turi atitikti aukščiausio energinio efektyvumo klasę (prieinamą Lietuvos rinkoje), nustatytą Europos Komisijos reglamentuose dėl gaminių energijos vartojimo efektyvumo ženklinimo reikalavimų. Jeigu minėti reikalavimai prekėms netaikomi, prekės turi atitikti Europos Komisijos reglamentuose dėl gaminių ekologinio projektavimo nustatytus efektyvaus energijos vartojimo kriterijus.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tabs>
          <w:tab w:val="left" w:pos="567"/>
        </w:tabs>
        <w:suppressAutoHyphens/>
        <w:ind w:firstLine="851"/>
        <w:jc w:val="both"/>
      </w:pPr>
      <w:r>
        <w:t>23</w:t>
      </w:r>
      <w:r>
        <w:t>. Patalpų apšvietimo projektavimo paslaugos:</w:t>
      </w:r>
    </w:p>
    <w:p>
      <w:pPr>
        <w:tabs>
          <w:tab w:val="left" w:pos="567"/>
        </w:tabs>
        <w:suppressAutoHyphens/>
        <w:ind w:firstLine="851"/>
        <w:jc w:val="both"/>
        <w:rPr>
          <w:szCs w:val="24"/>
          <w:lang w:eastAsia="lt-LT"/>
        </w:rPr>
      </w:pPr>
      <w:r>
        <w:t>23.1</w:t>
      </w:r>
      <w:r>
        <w:t>. jeigu patalpų apšvietimo įranga montuojama visame pastate, didžiausią visame pastate vartojamą apšvietimo galią padalijus iš bendro grindų ploto gauta vertė neturi viršyti šių verčių:</w:t>
      </w:r>
    </w:p>
    <w:tbl>
      <w:tblPr>
        <w:tblW w:w="895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812"/>
        <w:gridCol w:w="2438"/>
      </w:tblGrid>
      <w:tr>
        <w:tc>
          <w:tcPr>
            <w:tcW w:w="709" w:type="dxa"/>
          </w:tcPr>
          <w:p>
            <w:pPr>
              <w:jc w:val="center"/>
              <w:rPr>
                <w:sz w:val="22"/>
                <w:szCs w:val="22"/>
              </w:rPr>
            </w:pPr>
            <w:r>
              <w:rPr>
                <w:sz w:val="22"/>
                <w:szCs w:val="22"/>
              </w:rPr>
              <w:t>Eil.</w:t>
            </w:r>
          </w:p>
          <w:p>
            <w:pPr>
              <w:jc w:val="center"/>
              <w:rPr>
                <w:sz w:val="22"/>
                <w:szCs w:val="22"/>
              </w:rPr>
            </w:pPr>
            <w:r>
              <w:rPr>
                <w:sz w:val="22"/>
                <w:szCs w:val="22"/>
              </w:rPr>
              <w:t>Nr.</w:t>
            </w:r>
          </w:p>
        </w:tc>
        <w:tc>
          <w:tcPr>
            <w:tcW w:w="5812" w:type="dxa"/>
          </w:tcPr>
          <w:p>
            <w:pPr>
              <w:jc w:val="center"/>
              <w:rPr>
                <w:sz w:val="22"/>
                <w:szCs w:val="22"/>
              </w:rPr>
            </w:pPr>
            <w:r>
              <w:rPr>
                <w:sz w:val="22"/>
                <w:szCs w:val="22"/>
              </w:rPr>
              <w:t>Pastatų paskirtis</w:t>
            </w:r>
          </w:p>
        </w:tc>
        <w:tc>
          <w:tcPr>
            <w:tcW w:w="2438" w:type="dxa"/>
          </w:tcPr>
          <w:p>
            <w:pPr>
              <w:jc w:val="center"/>
              <w:rPr>
                <w:sz w:val="22"/>
                <w:szCs w:val="22"/>
                <w:vertAlign w:val="superscript"/>
              </w:rPr>
            </w:pPr>
            <w:r>
              <w:rPr>
                <w:bCs/>
                <w:sz w:val="22"/>
                <w:szCs w:val="22"/>
              </w:rPr>
              <w:t xml:space="preserve">Apšvietimo galios tankis, </w:t>
            </w:r>
            <w:r>
              <w:rPr>
                <w:sz w:val="22"/>
                <w:szCs w:val="22"/>
              </w:rPr>
              <w:t>W/m</w:t>
            </w:r>
            <w:r>
              <w:rPr>
                <w:sz w:val="22"/>
                <w:szCs w:val="22"/>
                <w:vertAlign w:val="superscript"/>
              </w:rPr>
              <w:t>2</w:t>
            </w:r>
          </w:p>
        </w:tc>
      </w:tr>
      <w:tr>
        <w:tc>
          <w:tcPr>
            <w:tcW w:w="709" w:type="dxa"/>
          </w:tcPr>
          <w:p>
            <w:pPr>
              <w:jc w:val="center"/>
              <w:rPr>
                <w:sz w:val="22"/>
                <w:szCs w:val="22"/>
              </w:rPr>
            </w:pPr>
            <w:r>
              <w:rPr>
                <w:sz w:val="22"/>
                <w:szCs w:val="22"/>
              </w:rPr>
              <w:t>1.</w:t>
            </w:r>
          </w:p>
        </w:tc>
        <w:tc>
          <w:tcPr>
            <w:tcW w:w="5812" w:type="dxa"/>
          </w:tcPr>
          <w:p>
            <w:pPr>
              <w:rPr>
                <w:sz w:val="22"/>
                <w:szCs w:val="22"/>
              </w:rPr>
            </w:pPr>
            <w:r>
              <w:rPr>
                <w:sz w:val="22"/>
                <w:szCs w:val="22"/>
              </w:rPr>
              <w:t>Garažų</w:t>
            </w:r>
          </w:p>
        </w:tc>
        <w:tc>
          <w:tcPr>
            <w:tcW w:w="2438" w:type="dxa"/>
          </w:tcPr>
          <w:p>
            <w:pPr>
              <w:jc w:val="center"/>
              <w:rPr>
                <w:sz w:val="22"/>
                <w:szCs w:val="22"/>
              </w:rPr>
            </w:pPr>
            <w:r>
              <w:rPr>
                <w:sz w:val="22"/>
                <w:szCs w:val="22"/>
              </w:rPr>
              <w:t>2,5</w:t>
            </w:r>
          </w:p>
        </w:tc>
      </w:tr>
      <w:tr>
        <w:tc>
          <w:tcPr>
            <w:tcW w:w="709" w:type="dxa"/>
          </w:tcPr>
          <w:p>
            <w:pPr>
              <w:jc w:val="center"/>
              <w:rPr>
                <w:sz w:val="22"/>
                <w:szCs w:val="22"/>
              </w:rPr>
            </w:pPr>
            <w:r>
              <w:rPr>
                <w:sz w:val="22"/>
                <w:szCs w:val="22"/>
              </w:rPr>
              <w:t>2.</w:t>
            </w:r>
          </w:p>
        </w:tc>
        <w:tc>
          <w:tcPr>
            <w:tcW w:w="5812" w:type="dxa"/>
          </w:tcPr>
          <w:p>
            <w:pPr>
              <w:rPr>
                <w:sz w:val="22"/>
                <w:szCs w:val="22"/>
              </w:rPr>
            </w:pPr>
            <w:r>
              <w:rPr>
                <w:sz w:val="22"/>
                <w:szCs w:val="22"/>
              </w:rPr>
              <w:t>Administracinė (teismas, paštas)</w:t>
            </w:r>
          </w:p>
        </w:tc>
        <w:tc>
          <w:tcPr>
            <w:tcW w:w="2438" w:type="dxa"/>
          </w:tcPr>
          <w:p>
            <w:pPr>
              <w:jc w:val="center"/>
              <w:rPr>
                <w:sz w:val="22"/>
                <w:szCs w:val="22"/>
              </w:rPr>
            </w:pPr>
            <w:r>
              <w:rPr>
                <w:sz w:val="22"/>
                <w:szCs w:val="22"/>
              </w:rPr>
              <w:t>14</w:t>
            </w:r>
          </w:p>
        </w:tc>
      </w:tr>
      <w:tr>
        <w:trPr>
          <w:trHeight w:val="505"/>
        </w:trPr>
        <w:tc>
          <w:tcPr>
            <w:tcW w:w="709" w:type="dxa"/>
          </w:tcPr>
          <w:p>
            <w:pPr>
              <w:jc w:val="center"/>
              <w:rPr>
                <w:sz w:val="22"/>
                <w:szCs w:val="22"/>
              </w:rPr>
            </w:pPr>
            <w:r>
              <w:rPr>
                <w:sz w:val="22"/>
                <w:szCs w:val="22"/>
              </w:rPr>
              <w:t>3.</w:t>
            </w:r>
          </w:p>
        </w:tc>
        <w:tc>
          <w:tcPr>
            <w:tcW w:w="5812" w:type="dxa"/>
          </w:tcPr>
          <w:p>
            <w:pPr>
              <w:rPr>
                <w:sz w:val="22"/>
                <w:szCs w:val="22"/>
              </w:rPr>
            </w:pPr>
            <w:r>
              <w:rPr>
                <w:sz w:val="22"/>
                <w:szCs w:val="22"/>
              </w:rPr>
              <w:t>Kultūros (parodų centrai, muziejai, salės)</w:t>
            </w:r>
          </w:p>
        </w:tc>
        <w:tc>
          <w:tcPr>
            <w:tcW w:w="2438" w:type="dxa"/>
          </w:tcPr>
          <w:p>
            <w:pPr>
              <w:jc w:val="center"/>
              <w:rPr>
                <w:sz w:val="22"/>
                <w:szCs w:val="22"/>
              </w:rPr>
            </w:pPr>
            <w:r>
              <w:rPr>
                <w:sz w:val="22"/>
                <w:szCs w:val="22"/>
              </w:rPr>
              <w:t>9</w:t>
            </w:r>
          </w:p>
        </w:tc>
      </w:tr>
      <w:tr>
        <w:tc>
          <w:tcPr>
            <w:tcW w:w="709" w:type="dxa"/>
          </w:tcPr>
          <w:p>
            <w:pPr>
              <w:jc w:val="center"/>
              <w:rPr>
                <w:sz w:val="22"/>
                <w:szCs w:val="22"/>
              </w:rPr>
            </w:pPr>
            <w:r>
              <w:rPr>
                <w:sz w:val="22"/>
                <w:szCs w:val="22"/>
              </w:rPr>
              <w:t>4.</w:t>
            </w:r>
          </w:p>
        </w:tc>
        <w:tc>
          <w:tcPr>
            <w:tcW w:w="5812" w:type="dxa"/>
          </w:tcPr>
          <w:p>
            <w:pPr>
              <w:rPr>
                <w:b/>
                <w:sz w:val="22"/>
                <w:szCs w:val="22"/>
              </w:rPr>
            </w:pPr>
            <w:r>
              <w:rPr>
                <w:bCs/>
                <w:sz w:val="22"/>
                <w:szCs w:val="22"/>
              </w:rPr>
              <w:t>Specialioji (priešgaisrinių ir gelbėjimo tarnybų)</w:t>
            </w:r>
          </w:p>
        </w:tc>
        <w:tc>
          <w:tcPr>
            <w:tcW w:w="2438" w:type="dxa"/>
          </w:tcPr>
          <w:p>
            <w:pPr>
              <w:jc w:val="center"/>
              <w:rPr>
                <w:sz w:val="22"/>
                <w:szCs w:val="22"/>
              </w:rPr>
            </w:pPr>
            <w:r>
              <w:rPr>
                <w:sz w:val="22"/>
                <w:szCs w:val="22"/>
              </w:rPr>
              <w:t>12</w:t>
            </w:r>
          </w:p>
        </w:tc>
      </w:tr>
      <w:tr>
        <w:tc>
          <w:tcPr>
            <w:tcW w:w="709" w:type="dxa"/>
          </w:tcPr>
          <w:p>
            <w:pPr>
              <w:jc w:val="center"/>
              <w:rPr>
                <w:sz w:val="22"/>
                <w:szCs w:val="22"/>
              </w:rPr>
            </w:pPr>
            <w:r>
              <w:rPr>
                <w:sz w:val="22"/>
                <w:szCs w:val="22"/>
              </w:rPr>
              <w:t>5.</w:t>
            </w:r>
          </w:p>
        </w:tc>
        <w:tc>
          <w:tcPr>
            <w:tcW w:w="5812" w:type="dxa"/>
          </w:tcPr>
          <w:p>
            <w:pPr>
              <w:rPr>
                <w:sz w:val="22"/>
                <w:szCs w:val="22"/>
              </w:rPr>
            </w:pPr>
            <w:r>
              <w:rPr>
                <w:sz w:val="22"/>
                <w:szCs w:val="22"/>
              </w:rPr>
              <w:t xml:space="preserve">Mokslo (profesinės ir aukštosios mokyklos) </w:t>
            </w:r>
          </w:p>
        </w:tc>
        <w:tc>
          <w:tcPr>
            <w:tcW w:w="2438" w:type="dxa"/>
          </w:tcPr>
          <w:p>
            <w:pPr>
              <w:jc w:val="center"/>
              <w:rPr>
                <w:sz w:val="22"/>
                <w:szCs w:val="22"/>
              </w:rPr>
            </w:pPr>
            <w:r>
              <w:rPr>
                <w:sz w:val="22"/>
                <w:szCs w:val="22"/>
              </w:rPr>
              <w:t>13</w:t>
            </w:r>
          </w:p>
        </w:tc>
      </w:tr>
      <w:tr>
        <w:tc>
          <w:tcPr>
            <w:tcW w:w="709" w:type="dxa"/>
          </w:tcPr>
          <w:p>
            <w:pPr>
              <w:jc w:val="center"/>
              <w:rPr>
                <w:sz w:val="22"/>
                <w:szCs w:val="22"/>
              </w:rPr>
            </w:pPr>
            <w:r>
              <w:rPr>
                <w:sz w:val="22"/>
                <w:szCs w:val="22"/>
              </w:rPr>
              <w:t>6.</w:t>
            </w:r>
          </w:p>
        </w:tc>
        <w:tc>
          <w:tcPr>
            <w:tcW w:w="5812" w:type="dxa"/>
          </w:tcPr>
          <w:p>
            <w:pPr>
              <w:rPr>
                <w:sz w:val="22"/>
                <w:szCs w:val="22"/>
              </w:rPr>
            </w:pPr>
            <w:r>
              <w:rPr>
                <w:sz w:val="22"/>
                <w:szCs w:val="22"/>
              </w:rPr>
              <w:t xml:space="preserve">Gydymo </w:t>
            </w:r>
          </w:p>
        </w:tc>
        <w:tc>
          <w:tcPr>
            <w:tcW w:w="2438" w:type="dxa"/>
          </w:tcPr>
          <w:p>
            <w:pPr>
              <w:jc w:val="center"/>
              <w:rPr>
                <w:sz w:val="22"/>
                <w:szCs w:val="22"/>
              </w:rPr>
            </w:pPr>
            <w:r>
              <w:rPr>
                <w:sz w:val="22"/>
                <w:szCs w:val="22"/>
              </w:rPr>
              <w:t>12</w:t>
            </w:r>
          </w:p>
        </w:tc>
      </w:tr>
      <w:tr>
        <w:tc>
          <w:tcPr>
            <w:tcW w:w="709" w:type="dxa"/>
          </w:tcPr>
          <w:p>
            <w:pPr>
              <w:jc w:val="center"/>
              <w:rPr>
                <w:sz w:val="22"/>
                <w:szCs w:val="22"/>
              </w:rPr>
            </w:pPr>
            <w:r>
              <w:rPr>
                <w:sz w:val="22"/>
                <w:szCs w:val="22"/>
              </w:rPr>
              <w:t>7.</w:t>
            </w:r>
          </w:p>
        </w:tc>
        <w:tc>
          <w:tcPr>
            <w:tcW w:w="5812" w:type="dxa"/>
          </w:tcPr>
          <w:p>
            <w:pPr>
              <w:rPr>
                <w:sz w:val="22"/>
                <w:szCs w:val="22"/>
              </w:rPr>
            </w:pPr>
            <w:r>
              <w:rPr>
                <w:sz w:val="22"/>
                <w:szCs w:val="22"/>
              </w:rPr>
              <w:t>Kultūros (bibliotekos, skaityklos)</w:t>
            </w:r>
          </w:p>
        </w:tc>
        <w:tc>
          <w:tcPr>
            <w:tcW w:w="2438" w:type="dxa"/>
          </w:tcPr>
          <w:p>
            <w:pPr>
              <w:jc w:val="center"/>
              <w:rPr>
                <w:sz w:val="22"/>
                <w:szCs w:val="22"/>
              </w:rPr>
            </w:pPr>
            <w:r>
              <w:rPr>
                <w:sz w:val="22"/>
                <w:szCs w:val="22"/>
              </w:rPr>
              <w:t>12</w:t>
            </w:r>
          </w:p>
        </w:tc>
      </w:tr>
      <w:tr>
        <w:tc>
          <w:tcPr>
            <w:tcW w:w="709" w:type="dxa"/>
          </w:tcPr>
          <w:p>
            <w:pPr>
              <w:jc w:val="center"/>
              <w:rPr>
                <w:sz w:val="22"/>
                <w:szCs w:val="22"/>
              </w:rPr>
            </w:pPr>
            <w:r>
              <w:rPr>
                <w:sz w:val="22"/>
                <w:szCs w:val="22"/>
              </w:rPr>
              <w:t>8.</w:t>
            </w:r>
          </w:p>
        </w:tc>
        <w:tc>
          <w:tcPr>
            <w:tcW w:w="5812" w:type="dxa"/>
          </w:tcPr>
          <w:p>
            <w:pPr>
              <w:rPr>
                <w:sz w:val="22"/>
                <w:szCs w:val="22"/>
              </w:rPr>
            </w:pPr>
            <w:r>
              <w:rPr>
                <w:sz w:val="22"/>
                <w:szCs w:val="22"/>
              </w:rPr>
              <w:t>Administracinė (pertvaromis atskirtos darbo vietos )</w:t>
            </w:r>
          </w:p>
        </w:tc>
        <w:tc>
          <w:tcPr>
            <w:tcW w:w="2438" w:type="dxa"/>
          </w:tcPr>
          <w:p>
            <w:pPr>
              <w:jc w:val="center"/>
              <w:rPr>
                <w:sz w:val="22"/>
                <w:szCs w:val="22"/>
              </w:rPr>
            </w:pPr>
            <w:r>
              <w:rPr>
                <w:sz w:val="22"/>
                <w:szCs w:val="22"/>
              </w:rPr>
              <w:t>13</w:t>
            </w:r>
          </w:p>
        </w:tc>
      </w:tr>
      <w:tr>
        <w:tc>
          <w:tcPr>
            <w:tcW w:w="709" w:type="dxa"/>
          </w:tcPr>
          <w:p>
            <w:pPr>
              <w:jc w:val="center"/>
              <w:rPr>
                <w:sz w:val="22"/>
                <w:szCs w:val="22"/>
              </w:rPr>
            </w:pPr>
            <w:r>
              <w:rPr>
                <w:sz w:val="22"/>
                <w:szCs w:val="22"/>
              </w:rPr>
              <w:t>9.</w:t>
            </w:r>
          </w:p>
        </w:tc>
        <w:tc>
          <w:tcPr>
            <w:tcW w:w="5812" w:type="dxa"/>
          </w:tcPr>
          <w:p>
            <w:pPr>
              <w:rPr>
                <w:sz w:val="22"/>
                <w:szCs w:val="22"/>
              </w:rPr>
            </w:pPr>
            <w:r>
              <w:rPr>
                <w:sz w:val="22"/>
                <w:szCs w:val="22"/>
              </w:rPr>
              <w:t>Administracinė (darbo patalpa be pertvarų)</w:t>
            </w:r>
          </w:p>
        </w:tc>
        <w:tc>
          <w:tcPr>
            <w:tcW w:w="2438" w:type="dxa"/>
          </w:tcPr>
          <w:p>
            <w:pPr>
              <w:jc w:val="center"/>
              <w:rPr>
                <w:sz w:val="22"/>
                <w:szCs w:val="22"/>
              </w:rPr>
            </w:pPr>
            <w:r>
              <w:rPr>
                <w:sz w:val="22"/>
                <w:szCs w:val="22"/>
              </w:rPr>
              <w:t>11</w:t>
            </w:r>
          </w:p>
        </w:tc>
      </w:tr>
      <w:tr>
        <w:tc>
          <w:tcPr>
            <w:tcW w:w="709" w:type="dxa"/>
          </w:tcPr>
          <w:p>
            <w:pPr>
              <w:jc w:val="center"/>
              <w:rPr>
                <w:sz w:val="22"/>
                <w:szCs w:val="22"/>
              </w:rPr>
            </w:pPr>
            <w:r>
              <w:rPr>
                <w:sz w:val="22"/>
                <w:szCs w:val="22"/>
              </w:rPr>
              <w:t>10.</w:t>
            </w:r>
          </w:p>
        </w:tc>
        <w:tc>
          <w:tcPr>
            <w:tcW w:w="5812" w:type="dxa"/>
          </w:tcPr>
          <w:p>
            <w:pPr>
              <w:rPr>
                <w:sz w:val="22"/>
                <w:szCs w:val="22"/>
              </w:rPr>
            </w:pPr>
            <w:r>
              <w:rPr>
                <w:bCs/>
                <w:sz w:val="22"/>
                <w:szCs w:val="22"/>
              </w:rPr>
              <w:t>Specialioji (policija)</w:t>
            </w:r>
          </w:p>
        </w:tc>
        <w:tc>
          <w:tcPr>
            <w:tcW w:w="2438" w:type="dxa"/>
          </w:tcPr>
          <w:p>
            <w:pPr>
              <w:jc w:val="center"/>
              <w:rPr>
                <w:sz w:val="22"/>
                <w:szCs w:val="22"/>
              </w:rPr>
            </w:pPr>
            <w:r>
              <w:rPr>
                <w:sz w:val="22"/>
                <w:szCs w:val="22"/>
              </w:rPr>
              <w:t>14</w:t>
            </w:r>
          </w:p>
        </w:tc>
      </w:tr>
      <w:tr>
        <w:tc>
          <w:tcPr>
            <w:tcW w:w="709" w:type="dxa"/>
          </w:tcPr>
          <w:p>
            <w:pPr>
              <w:jc w:val="center"/>
              <w:rPr>
                <w:sz w:val="22"/>
                <w:szCs w:val="22"/>
              </w:rPr>
            </w:pPr>
            <w:r>
              <w:rPr>
                <w:sz w:val="22"/>
                <w:szCs w:val="22"/>
              </w:rPr>
              <w:t>11.</w:t>
            </w:r>
          </w:p>
        </w:tc>
        <w:tc>
          <w:tcPr>
            <w:tcW w:w="5812" w:type="dxa"/>
          </w:tcPr>
          <w:p>
            <w:pPr>
              <w:rPr>
                <w:sz w:val="22"/>
                <w:szCs w:val="22"/>
              </w:rPr>
            </w:pPr>
            <w:r>
              <w:rPr>
                <w:bCs/>
                <w:sz w:val="22"/>
                <w:szCs w:val="22"/>
              </w:rPr>
              <w:t>Specialioji (kalėjimai, tardymo izoliatoriai, pataisos darbų kolonijos)</w:t>
            </w:r>
          </w:p>
        </w:tc>
        <w:tc>
          <w:tcPr>
            <w:tcW w:w="2438" w:type="dxa"/>
          </w:tcPr>
          <w:p>
            <w:pPr>
              <w:jc w:val="center"/>
              <w:rPr>
                <w:sz w:val="22"/>
                <w:szCs w:val="22"/>
              </w:rPr>
            </w:pPr>
            <w:r>
              <w:rPr>
                <w:sz w:val="22"/>
                <w:szCs w:val="22"/>
              </w:rPr>
              <w:t>9</w:t>
            </w:r>
          </w:p>
        </w:tc>
      </w:tr>
      <w:tr>
        <w:tc>
          <w:tcPr>
            <w:tcW w:w="709" w:type="dxa"/>
          </w:tcPr>
          <w:p>
            <w:pPr>
              <w:jc w:val="center"/>
              <w:rPr>
                <w:sz w:val="22"/>
                <w:szCs w:val="22"/>
              </w:rPr>
            </w:pPr>
            <w:r>
              <w:rPr>
                <w:sz w:val="22"/>
                <w:szCs w:val="22"/>
              </w:rPr>
              <w:t>12.</w:t>
            </w:r>
          </w:p>
        </w:tc>
        <w:tc>
          <w:tcPr>
            <w:tcW w:w="5812" w:type="dxa"/>
          </w:tcPr>
          <w:p>
            <w:pPr>
              <w:rPr>
                <w:sz w:val="22"/>
                <w:szCs w:val="22"/>
              </w:rPr>
            </w:pPr>
            <w:r>
              <w:rPr>
                <w:sz w:val="22"/>
                <w:szCs w:val="22"/>
              </w:rPr>
              <w:t xml:space="preserve">Sporto (salės, klubai) </w:t>
            </w:r>
          </w:p>
        </w:tc>
        <w:tc>
          <w:tcPr>
            <w:tcW w:w="2438" w:type="dxa"/>
          </w:tcPr>
          <w:p>
            <w:pPr>
              <w:jc w:val="center"/>
              <w:rPr>
                <w:sz w:val="22"/>
                <w:szCs w:val="22"/>
              </w:rPr>
            </w:pPr>
            <w:r>
              <w:rPr>
                <w:sz w:val="22"/>
                <w:szCs w:val="22"/>
              </w:rPr>
              <w:t>9</w:t>
            </w:r>
          </w:p>
        </w:tc>
      </w:tr>
      <w:tr>
        <w:tc>
          <w:tcPr>
            <w:tcW w:w="709" w:type="dxa"/>
          </w:tcPr>
          <w:p>
            <w:pPr>
              <w:jc w:val="center"/>
              <w:rPr>
                <w:sz w:val="22"/>
                <w:szCs w:val="22"/>
              </w:rPr>
            </w:pPr>
            <w:r>
              <w:rPr>
                <w:sz w:val="22"/>
                <w:szCs w:val="22"/>
              </w:rPr>
              <w:t>13.</w:t>
            </w:r>
          </w:p>
        </w:tc>
        <w:tc>
          <w:tcPr>
            <w:tcW w:w="5812" w:type="dxa"/>
          </w:tcPr>
          <w:p>
            <w:pPr>
              <w:rPr>
                <w:sz w:val="22"/>
                <w:szCs w:val="22"/>
              </w:rPr>
            </w:pPr>
            <w:r>
              <w:rPr>
                <w:sz w:val="22"/>
                <w:szCs w:val="22"/>
              </w:rPr>
              <w:t>Gyvenamosios</w:t>
            </w:r>
          </w:p>
        </w:tc>
        <w:tc>
          <w:tcPr>
            <w:tcW w:w="2438" w:type="dxa"/>
          </w:tcPr>
          <w:p>
            <w:pPr>
              <w:jc w:val="center"/>
              <w:rPr>
                <w:sz w:val="22"/>
                <w:szCs w:val="22"/>
              </w:rPr>
            </w:pPr>
            <w:r>
              <w:rPr>
                <w:sz w:val="22"/>
                <w:szCs w:val="22"/>
              </w:rPr>
              <w:t>11</w:t>
            </w:r>
          </w:p>
        </w:tc>
      </w:tr>
      <w:tr>
        <w:tc>
          <w:tcPr>
            <w:tcW w:w="709" w:type="dxa"/>
          </w:tcPr>
          <w:p>
            <w:pPr>
              <w:jc w:val="center"/>
              <w:rPr>
                <w:sz w:val="22"/>
                <w:szCs w:val="22"/>
              </w:rPr>
            </w:pPr>
            <w:r>
              <w:rPr>
                <w:sz w:val="22"/>
                <w:szCs w:val="22"/>
              </w:rPr>
              <w:t>14.</w:t>
            </w:r>
          </w:p>
        </w:tc>
        <w:tc>
          <w:tcPr>
            <w:tcW w:w="5812" w:type="dxa"/>
          </w:tcPr>
          <w:p>
            <w:pPr>
              <w:rPr>
                <w:sz w:val="22"/>
                <w:szCs w:val="22"/>
              </w:rPr>
            </w:pPr>
            <w:r>
              <w:rPr>
                <w:sz w:val="22"/>
                <w:szCs w:val="22"/>
              </w:rPr>
              <w:t>Gyvenamosios (tik bendro naudojimo) patalpos</w:t>
            </w:r>
          </w:p>
        </w:tc>
        <w:tc>
          <w:tcPr>
            <w:tcW w:w="2438" w:type="dxa"/>
          </w:tcPr>
          <w:p>
            <w:pPr>
              <w:jc w:val="center"/>
              <w:rPr>
                <w:sz w:val="22"/>
                <w:szCs w:val="22"/>
              </w:rPr>
            </w:pPr>
            <w:r>
              <w:rPr>
                <w:sz w:val="22"/>
                <w:szCs w:val="22"/>
              </w:rPr>
              <w:t>6</w:t>
            </w:r>
          </w:p>
        </w:tc>
      </w:tr>
      <w:tr>
        <w:tc>
          <w:tcPr>
            <w:tcW w:w="709" w:type="dxa"/>
          </w:tcPr>
          <w:p>
            <w:pPr>
              <w:jc w:val="center"/>
              <w:rPr>
                <w:sz w:val="22"/>
                <w:szCs w:val="22"/>
              </w:rPr>
            </w:pPr>
            <w:r>
              <w:rPr>
                <w:sz w:val="22"/>
                <w:szCs w:val="22"/>
              </w:rPr>
              <w:t>15.</w:t>
            </w:r>
          </w:p>
        </w:tc>
        <w:tc>
          <w:tcPr>
            <w:tcW w:w="5812" w:type="dxa"/>
          </w:tcPr>
          <w:p>
            <w:pPr>
              <w:rPr>
                <w:sz w:val="22"/>
                <w:szCs w:val="22"/>
              </w:rPr>
            </w:pPr>
            <w:r>
              <w:rPr>
                <w:sz w:val="22"/>
                <w:szCs w:val="22"/>
              </w:rPr>
              <w:t>Mokslo (bendrojo lavinimo mokyklos</w:t>
            </w:r>
          </w:p>
        </w:tc>
        <w:tc>
          <w:tcPr>
            <w:tcW w:w="2438" w:type="dxa"/>
          </w:tcPr>
          <w:p>
            <w:pPr>
              <w:jc w:val="center"/>
              <w:rPr>
                <w:sz w:val="22"/>
                <w:szCs w:val="22"/>
              </w:rPr>
            </w:pPr>
            <w:r>
              <w:rPr>
                <w:sz w:val="22"/>
                <w:szCs w:val="22"/>
              </w:rPr>
              <w:t>8</w:t>
            </w:r>
          </w:p>
        </w:tc>
      </w:tr>
      <w:tr>
        <w:tc>
          <w:tcPr>
            <w:tcW w:w="709" w:type="dxa"/>
          </w:tcPr>
          <w:p>
            <w:pPr>
              <w:jc w:val="center"/>
              <w:rPr>
                <w:sz w:val="22"/>
                <w:szCs w:val="22"/>
              </w:rPr>
            </w:pPr>
            <w:r>
              <w:rPr>
                <w:sz w:val="22"/>
                <w:szCs w:val="22"/>
              </w:rPr>
              <w:t>16.</w:t>
            </w:r>
          </w:p>
        </w:tc>
        <w:tc>
          <w:tcPr>
            <w:tcW w:w="5812" w:type="dxa"/>
          </w:tcPr>
          <w:p>
            <w:pPr>
              <w:rPr>
                <w:sz w:val="22"/>
                <w:szCs w:val="22"/>
              </w:rPr>
            </w:pPr>
            <w:r>
              <w:rPr>
                <w:sz w:val="22"/>
                <w:szCs w:val="22"/>
              </w:rPr>
              <w:t>Kultūros (kita)</w:t>
            </w:r>
          </w:p>
        </w:tc>
        <w:tc>
          <w:tcPr>
            <w:tcW w:w="2438" w:type="dxa"/>
          </w:tcPr>
          <w:p>
            <w:pPr>
              <w:jc w:val="center"/>
              <w:rPr>
                <w:sz w:val="22"/>
                <w:szCs w:val="22"/>
              </w:rPr>
            </w:pPr>
            <w:r>
              <w:rPr>
                <w:sz w:val="22"/>
                <w:szCs w:val="22"/>
              </w:rPr>
              <w:t>13</w:t>
            </w:r>
          </w:p>
        </w:tc>
      </w:tr>
    </w:tbl>
    <w:p>
      <w:pPr>
        <w:ind w:firstLine="851"/>
        <w:jc w:val="both"/>
      </w:pPr>
    </w:p>
    <w:p>
      <w:pPr>
        <w:ind w:firstLine="851"/>
        <w:jc w:val="both"/>
      </w:pPr>
      <w:r>
        <w:t>23.2</w:t>
      </w:r>
      <w:r>
        <w:t>. jeigu patalpų apšvietimo įranga montuojama pavienėje zonoje arba tik pastato dalyje, didžiausią toje zonoje vartojamą apšvietimo įrangos galią padalijus iš bendro šios zonos grindų ploto ir 100 apšvietos vienetų (100 liuksų) gauta vertė neturi viršyti šių verčių:</w:t>
      </w:r>
    </w:p>
    <w:tbl>
      <w:tblPr>
        <w:tblW w:w="895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812"/>
        <w:gridCol w:w="2438"/>
      </w:tblGrid>
      <w:tr>
        <w:tc>
          <w:tcPr>
            <w:tcW w:w="709" w:type="dxa"/>
          </w:tcPr>
          <w:p>
            <w:pPr>
              <w:jc w:val="center"/>
              <w:rPr>
                <w:sz w:val="22"/>
                <w:szCs w:val="22"/>
              </w:rPr>
            </w:pPr>
            <w:r>
              <w:rPr>
                <w:sz w:val="22"/>
                <w:szCs w:val="22"/>
              </w:rPr>
              <w:t>Nr.</w:t>
            </w:r>
          </w:p>
        </w:tc>
        <w:tc>
          <w:tcPr>
            <w:tcW w:w="5812" w:type="dxa"/>
          </w:tcPr>
          <w:p>
            <w:pPr>
              <w:jc w:val="center"/>
              <w:rPr>
                <w:sz w:val="22"/>
                <w:szCs w:val="22"/>
              </w:rPr>
            </w:pPr>
            <w:r>
              <w:rPr>
                <w:sz w:val="22"/>
                <w:szCs w:val="22"/>
              </w:rPr>
              <w:t>Patalpų paskirtis</w:t>
            </w:r>
          </w:p>
        </w:tc>
        <w:tc>
          <w:tcPr>
            <w:tcW w:w="2438" w:type="dxa"/>
          </w:tcPr>
          <w:p>
            <w:pPr>
              <w:jc w:val="center"/>
              <w:rPr>
                <w:bCs/>
                <w:sz w:val="22"/>
                <w:szCs w:val="22"/>
              </w:rPr>
            </w:pPr>
            <w:r>
              <w:rPr>
                <w:bCs/>
                <w:sz w:val="22"/>
                <w:szCs w:val="22"/>
              </w:rPr>
              <w:t>Normuotasis apšvietimo galios tankis</w:t>
            </w:r>
          </w:p>
          <w:p>
            <w:pPr>
              <w:jc w:val="center"/>
              <w:rPr>
                <w:sz w:val="22"/>
                <w:szCs w:val="22"/>
              </w:rPr>
            </w:pPr>
            <w:r>
              <w:rPr>
                <w:sz w:val="22"/>
                <w:szCs w:val="22"/>
              </w:rPr>
              <w:t>(W/m</w:t>
            </w:r>
            <w:r>
              <w:rPr>
                <w:sz w:val="22"/>
                <w:szCs w:val="22"/>
                <w:vertAlign w:val="superscript"/>
              </w:rPr>
              <w:t>2</w:t>
            </w:r>
            <w:r>
              <w:rPr>
                <w:sz w:val="22"/>
                <w:szCs w:val="22"/>
              </w:rPr>
              <w:t>/100 lx)</w:t>
            </w:r>
          </w:p>
        </w:tc>
      </w:tr>
      <w:tr>
        <w:tc>
          <w:tcPr>
            <w:tcW w:w="709" w:type="dxa"/>
          </w:tcPr>
          <w:p>
            <w:pPr>
              <w:jc w:val="center"/>
              <w:rPr>
                <w:sz w:val="22"/>
                <w:szCs w:val="22"/>
              </w:rPr>
            </w:pPr>
            <w:r>
              <w:rPr>
                <w:sz w:val="22"/>
                <w:szCs w:val="22"/>
              </w:rPr>
              <w:t>1.</w:t>
            </w:r>
          </w:p>
        </w:tc>
        <w:tc>
          <w:tcPr>
            <w:tcW w:w="5812" w:type="dxa"/>
          </w:tcPr>
          <w:p>
            <w:pPr>
              <w:rPr>
                <w:sz w:val="22"/>
                <w:szCs w:val="22"/>
              </w:rPr>
            </w:pPr>
            <w:r>
              <w:rPr>
                <w:sz w:val="22"/>
                <w:szCs w:val="22"/>
              </w:rPr>
              <w:t>Gyvenamoji (miegamieji)</w:t>
            </w:r>
          </w:p>
        </w:tc>
        <w:tc>
          <w:tcPr>
            <w:tcW w:w="2438" w:type="dxa"/>
          </w:tcPr>
          <w:p>
            <w:pPr>
              <w:jc w:val="center"/>
              <w:rPr>
                <w:sz w:val="22"/>
                <w:szCs w:val="22"/>
              </w:rPr>
            </w:pPr>
            <w:r>
              <w:rPr>
                <w:sz w:val="22"/>
                <w:szCs w:val="22"/>
              </w:rPr>
              <w:t>7,5</w:t>
            </w:r>
          </w:p>
        </w:tc>
      </w:tr>
      <w:tr>
        <w:tc>
          <w:tcPr>
            <w:tcW w:w="709" w:type="dxa"/>
          </w:tcPr>
          <w:p>
            <w:pPr>
              <w:jc w:val="center"/>
              <w:rPr>
                <w:sz w:val="22"/>
                <w:szCs w:val="22"/>
              </w:rPr>
            </w:pPr>
            <w:r>
              <w:rPr>
                <w:sz w:val="22"/>
                <w:szCs w:val="22"/>
              </w:rPr>
              <w:t>2.</w:t>
            </w:r>
          </w:p>
        </w:tc>
        <w:tc>
          <w:tcPr>
            <w:tcW w:w="5812" w:type="dxa"/>
          </w:tcPr>
          <w:p>
            <w:pPr>
              <w:rPr>
                <w:sz w:val="22"/>
                <w:szCs w:val="22"/>
              </w:rPr>
            </w:pPr>
            <w:r>
              <w:rPr>
                <w:sz w:val="22"/>
                <w:szCs w:val="22"/>
              </w:rPr>
              <w:t>Maitinimo (valgyklos)</w:t>
            </w:r>
          </w:p>
        </w:tc>
        <w:tc>
          <w:tcPr>
            <w:tcW w:w="2438" w:type="dxa"/>
          </w:tcPr>
          <w:p>
            <w:pPr>
              <w:jc w:val="center"/>
              <w:rPr>
                <w:sz w:val="22"/>
                <w:szCs w:val="22"/>
              </w:rPr>
            </w:pPr>
            <w:r>
              <w:rPr>
                <w:sz w:val="22"/>
                <w:szCs w:val="22"/>
              </w:rPr>
              <w:t>3,5</w:t>
            </w:r>
          </w:p>
        </w:tc>
      </w:tr>
      <w:tr>
        <w:tc>
          <w:tcPr>
            <w:tcW w:w="709" w:type="dxa"/>
          </w:tcPr>
          <w:p>
            <w:pPr>
              <w:jc w:val="center"/>
              <w:rPr>
                <w:sz w:val="22"/>
                <w:szCs w:val="22"/>
              </w:rPr>
            </w:pPr>
            <w:r>
              <w:rPr>
                <w:sz w:val="22"/>
                <w:szCs w:val="22"/>
              </w:rPr>
              <w:t>3.</w:t>
            </w:r>
          </w:p>
        </w:tc>
        <w:tc>
          <w:tcPr>
            <w:tcW w:w="5812" w:type="dxa"/>
          </w:tcPr>
          <w:p>
            <w:pPr>
              <w:rPr>
                <w:sz w:val="22"/>
                <w:szCs w:val="22"/>
              </w:rPr>
            </w:pPr>
            <w:r>
              <w:rPr>
                <w:sz w:val="22"/>
                <w:szCs w:val="22"/>
              </w:rPr>
              <w:t>Garažų</w:t>
            </w:r>
          </w:p>
        </w:tc>
        <w:tc>
          <w:tcPr>
            <w:tcW w:w="2438" w:type="dxa"/>
          </w:tcPr>
          <w:p>
            <w:pPr>
              <w:jc w:val="center"/>
              <w:rPr>
                <w:sz w:val="22"/>
                <w:szCs w:val="22"/>
              </w:rPr>
            </w:pPr>
            <w:r>
              <w:rPr>
                <w:sz w:val="22"/>
                <w:szCs w:val="22"/>
              </w:rPr>
              <w:t>2,2</w:t>
            </w:r>
          </w:p>
        </w:tc>
      </w:tr>
      <w:tr>
        <w:tc>
          <w:tcPr>
            <w:tcW w:w="709" w:type="dxa"/>
          </w:tcPr>
          <w:p>
            <w:pPr>
              <w:jc w:val="center"/>
              <w:rPr>
                <w:sz w:val="22"/>
                <w:szCs w:val="22"/>
              </w:rPr>
            </w:pPr>
            <w:r>
              <w:rPr>
                <w:sz w:val="22"/>
                <w:szCs w:val="22"/>
              </w:rPr>
              <w:t>4.</w:t>
            </w:r>
          </w:p>
        </w:tc>
        <w:tc>
          <w:tcPr>
            <w:tcW w:w="5812" w:type="dxa"/>
          </w:tcPr>
          <w:p>
            <w:pPr>
              <w:rPr>
                <w:sz w:val="22"/>
                <w:szCs w:val="22"/>
              </w:rPr>
            </w:pPr>
            <w:r>
              <w:rPr>
                <w:sz w:val="22"/>
                <w:szCs w:val="22"/>
              </w:rPr>
              <w:t>Gyvenamoji (bendrojo naudojimo patalpos, įskaitant liftus ir laiptines)</w:t>
            </w:r>
          </w:p>
        </w:tc>
        <w:tc>
          <w:tcPr>
            <w:tcW w:w="2438" w:type="dxa"/>
          </w:tcPr>
          <w:p>
            <w:pPr>
              <w:jc w:val="center"/>
              <w:rPr>
                <w:sz w:val="22"/>
                <w:szCs w:val="22"/>
              </w:rPr>
            </w:pPr>
            <w:r>
              <w:rPr>
                <w:sz w:val="22"/>
                <w:szCs w:val="22"/>
              </w:rPr>
              <w:t>3,2</w:t>
            </w:r>
          </w:p>
        </w:tc>
      </w:tr>
      <w:tr>
        <w:tc>
          <w:tcPr>
            <w:tcW w:w="709" w:type="dxa"/>
          </w:tcPr>
          <w:p>
            <w:pPr>
              <w:jc w:val="center"/>
              <w:rPr>
                <w:sz w:val="22"/>
                <w:szCs w:val="22"/>
              </w:rPr>
            </w:pPr>
            <w:r>
              <w:rPr>
                <w:sz w:val="22"/>
                <w:szCs w:val="22"/>
              </w:rPr>
              <w:t>5.</w:t>
            </w:r>
          </w:p>
        </w:tc>
        <w:tc>
          <w:tcPr>
            <w:tcW w:w="5812" w:type="dxa"/>
          </w:tcPr>
          <w:p>
            <w:pPr>
              <w:rPr>
                <w:sz w:val="22"/>
                <w:szCs w:val="22"/>
              </w:rPr>
            </w:pPr>
            <w:r>
              <w:rPr>
                <w:sz w:val="22"/>
                <w:szCs w:val="22"/>
              </w:rPr>
              <w:t xml:space="preserve">Kultūros (salės, konferencijų patalpos) </w:t>
            </w:r>
          </w:p>
        </w:tc>
        <w:tc>
          <w:tcPr>
            <w:tcW w:w="2438" w:type="dxa"/>
          </w:tcPr>
          <w:p>
            <w:pPr>
              <w:jc w:val="center"/>
              <w:rPr>
                <w:sz w:val="22"/>
                <w:szCs w:val="22"/>
              </w:rPr>
            </w:pPr>
            <w:r>
              <w:rPr>
                <w:sz w:val="22"/>
                <w:szCs w:val="22"/>
              </w:rPr>
              <w:t>2,8</w:t>
            </w:r>
          </w:p>
        </w:tc>
      </w:tr>
      <w:tr>
        <w:tc>
          <w:tcPr>
            <w:tcW w:w="709" w:type="dxa"/>
          </w:tcPr>
          <w:p>
            <w:pPr>
              <w:jc w:val="center"/>
              <w:rPr>
                <w:sz w:val="22"/>
                <w:szCs w:val="22"/>
              </w:rPr>
            </w:pPr>
            <w:r>
              <w:rPr>
                <w:sz w:val="22"/>
                <w:szCs w:val="22"/>
              </w:rPr>
              <w:t>6.</w:t>
            </w:r>
          </w:p>
        </w:tc>
        <w:tc>
          <w:tcPr>
            <w:tcW w:w="5812" w:type="dxa"/>
          </w:tcPr>
          <w:p>
            <w:pPr>
              <w:rPr>
                <w:sz w:val="22"/>
                <w:szCs w:val="22"/>
              </w:rPr>
            </w:pPr>
            <w:r>
              <w:rPr>
                <w:sz w:val="22"/>
                <w:szCs w:val="22"/>
              </w:rPr>
              <w:t>Sporto (salės)</w:t>
            </w:r>
          </w:p>
        </w:tc>
        <w:tc>
          <w:tcPr>
            <w:tcW w:w="2438" w:type="dxa"/>
          </w:tcPr>
          <w:p>
            <w:pPr>
              <w:jc w:val="center"/>
              <w:rPr>
                <w:sz w:val="22"/>
                <w:szCs w:val="22"/>
              </w:rPr>
            </w:pPr>
            <w:r>
              <w:rPr>
                <w:sz w:val="22"/>
                <w:szCs w:val="22"/>
              </w:rPr>
              <w:t>2,8</w:t>
            </w:r>
          </w:p>
        </w:tc>
      </w:tr>
      <w:tr>
        <w:tc>
          <w:tcPr>
            <w:tcW w:w="709" w:type="dxa"/>
          </w:tcPr>
          <w:p>
            <w:pPr>
              <w:jc w:val="center"/>
              <w:rPr>
                <w:sz w:val="22"/>
                <w:szCs w:val="22"/>
              </w:rPr>
            </w:pPr>
            <w:r>
              <w:rPr>
                <w:sz w:val="22"/>
                <w:szCs w:val="22"/>
              </w:rPr>
              <w:t>7.</w:t>
            </w:r>
          </w:p>
        </w:tc>
        <w:tc>
          <w:tcPr>
            <w:tcW w:w="5812" w:type="dxa"/>
          </w:tcPr>
          <w:p>
            <w:pPr>
              <w:rPr>
                <w:sz w:val="22"/>
                <w:szCs w:val="22"/>
              </w:rPr>
            </w:pPr>
            <w:r>
              <w:rPr>
                <w:sz w:val="22"/>
                <w:szCs w:val="22"/>
              </w:rPr>
              <w:t>Gydymo (ligoninės palatos ir apžiūros patalpos)</w:t>
            </w:r>
          </w:p>
        </w:tc>
        <w:tc>
          <w:tcPr>
            <w:tcW w:w="2438" w:type="dxa"/>
          </w:tcPr>
          <w:p>
            <w:pPr>
              <w:jc w:val="center"/>
              <w:rPr>
                <w:sz w:val="22"/>
                <w:szCs w:val="22"/>
              </w:rPr>
            </w:pPr>
            <w:r>
              <w:rPr>
                <w:sz w:val="22"/>
                <w:szCs w:val="22"/>
              </w:rPr>
              <w:t>4</w:t>
            </w:r>
          </w:p>
        </w:tc>
      </w:tr>
      <w:tr>
        <w:tc>
          <w:tcPr>
            <w:tcW w:w="709" w:type="dxa"/>
          </w:tcPr>
          <w:p>
            <w:pPr>
              <w:jc w:val="center"/>
              <w:rPr>
                <w:sz w:val="22"/>
                <w:szCs w:val="22"/>
              </w:rPr>
            </w:pPr>
            <w:r>
              <w:rPr>
                <w:sz w:val="22"/>
                <w:szCs w:val="22"/>
              </w:rPr>
              <w:t>8.</w:t>
            </w:r>
          </w:p>
        </w:tc>
        <w:tc>
          <w:tcPr>
            <w:tcW w:w="5812" w:type="dxa"/>
          </w:tcPr>
          <w:p>
            <w:pPr>
              <w:rPr>
                <w:sz w:val="22"/>
                <w:szCs w:val="22"/>
              </w:rPr>
            </w:pPr>
            <w:r>
              <w:rPr>
                <w:sz w:val="22"/>
                <w:szCs w:val="22"/>
              </w:rPr>
              <w:t>Gyvenamoji (virtuvė, valgomasis)</w:t>
            </w:r>
          </w:p>
        </w:tc>
        <w:tc>
          <w:tcPr>
            <w:tcW w:w="2438" w:type="dxa"/>
          </w:tcPr>
          <w:p>
            <w:pPr>
              <w:jc w:val="center"/>
              <w:rPr>
                <w:sz w:val="22"/>
                <w:szCs w:val="22"/>
              </w:rPr>
            </w:pPr>
            <w:r>
              <w:rPr>
                <w:sz w:val="22"/>
                <w:szCs w:val="22"/>
              </w:rPr>
              <w:t>5</w:t>
            </w:r>
          </w:p>
        </w:tc>
      </w:tr>
      <w:tr>
        <w:tc>
          <w:tcPr>
            <w:tcW w:w="709" w:type="dxa"/>
          </w:tcPr>
          <w:p>
            <w:pPr>
              <w:jc w:val="center"/>
              <w:rPr>
                <w:sz w:val="22"/>
                <w:szCs w:val="22"/>
              </w:rPr>
            </w:pPr>
            <w:r>
              <w:rPr>
                <w:sz w:val="22"/>
                <w:szCs w:val="22"/>
              </w:rPr>
              <w:t>9.</w:t>
            </w:r>
          </w:p>
        </w:tc>
        <w:tc>
          <w:tcPr>
            <w:tcW w:w="5812" w:type="dxa"/>
          </w:tcPr>
          <w:p>
            <w:pPr>
              <w:rPr>
                <w:sz w:val="22"/>
                <w:szCs w:val="22"/>
              </w:rPr>
            </w:pPr>
            <w:r>
              <w:rPr>
                <w:sz w:val="22"/>
                <w:szCs w:val="22"/>
              </w:rPr>
              <w:t xml:space="preserve">Maitinimo (restoranų virtuvės) </w:t>
            </w:r>
          </w:p>
        </w:tc>
        <w:tc>
          <w:tcPr>
            <w:tcW w:w="2438" w:type="dxa"/>
          </w:tcPr>
          <w:p>
            <w:pPr>
              <w:jc w:val="center"/>
              <w:rPr>
                <w:sz w:val="22"/>
                <w:szCs w:val="22"/>
              </w:rPr>
            </w:pPr>
            <w:r>
              <w:rPr>
                <w:sz w:val="22"/>
                <w:szCs w:val="22"/>
              </w:rPr>
              <w:t>2,8</w:t>
            </w:r>
          </w:p>
        </w:tc>
      </w:tr>
      <w:tr>
        <w:tc>
          <w:tcPr>
            <w:tcW w:w="709" w:type="dxa"/>
          </w:tcPr>
          <w:p>
            <w:pPr>
              <w:jc w:val="center"/>
              <w:rPr>
                <w:sz w:val="22"/>
                <w:szCs w:val="22"/>
              </w:rPr>
            </w:pPr>
            <w:r>
              <w:rPr>
                <w:sz w:val="22"/>
                <w:szCs w:val="22"/>
              </w:rPr>
              <w:t>10.</w:t>
            </w:r>
          </w:p>
        </w:tc>
        <w:tc>
          <w:tcPr>
            <w:tcW w:w="5812" w:type="dxa"/>
          </w:tcPr>
          <w:p>
            <w:pPr>
              <w:rPr>
                <w:sz w:val="22"/>
                <w:szCs w:val="22"/>
              </w:rPr>
            </w:pPr>
            <w:r>
              <w:rPr>
                <w:sz w:val="22"/>
                <w:szCs w:val="22"/>
              </w:rPr>
              <w:t>Mokslo (laboratorijos)</w:t>
            </w:r>
          </w:p>
        </w:tc>
        <w:tc>
          <w:tcPr>
            <w:tcW w:w="2438" w:type="dxa"/>
          </w:tcPr>
          <w:p>
            <w:pPr>
              <w:jc w:val="center"/>
              <w:rPr>
                <w:sz w:val="22"/>
                <w:szCs w:val="22"/>
              </w:rPr>
            </w:pPr>
            <w:r>
              <w:rPr>
                <w:sz w:val="22"/>
                <w:szCs w:val="22"/>
              </w:rPr>
              <w:t>2,8</w:t>
            </w:r>
          </w:p>
        </w:tc>
      </w:tr>
      <w:tr>
        <w:tc>
          <w:tcPr>
            <w:tcW w:w="709" w:type="dxa"/>
          </w:tcPr>
          <w:p>
            <w:pPr>
              <w:jc w:val="center"/>
              <w:rPr>
                <w:sz w:val="22"/>
                <w:szCs w:val="22"/>
              </w:rPr>
            </w:pPr>
            <w:r>
              <w:rPr>
                <w:sz w:val="22"/>
                <w:szCs w:val="22"/>
              </w:rPr>
              <w:t>11.</w:t>
            </w:r>
          </w:p>
        </w:tc>
        <w:tc>
          <w:tcPr>
            <w:tcW w:w="5812" w:type="dxa"/>
          </w:tcPr>
          <w:p>
            <w:pPr>
              <w:rPr>
                <w:sz w:val="22"/>
                <w:szCs w:val="22"/>
              </w:rPr>
            </w:pPr>
            <w:r>
              <w:rPr>
                <w:sz w:val="22"/>
                <w:szCs w:val="22"/>
              </w:rPr>
              <w:t>Kultūros (bibliotekos)</w:t>
            </w:r>
          </w:p>
        </w:tc>
        <w:tc>
          <w:tcPr>
            <w:tcW w:w="2438" w:type="dxa"/>
          </w:tcPr>
          <w:p>
            <w:pPr>
              <w:jc w:val="center"/>
              <w:rPr>
                <w:sz w:val="22"/>
                <w:szCs w:val="22"/>
              </w:rPr>
            </w:pPr>
            <w:r>
              <w:rPr>
                <w:sz w:val="22"/>
                <w:szCs w:val="22"/>
              </w:rPr>
              <w:t>3,2</w:t>
            </w:r>
          </w:p>
        </w:tc>
      </w:tr>
      <w:tr>
        <w:tc>
          <w:tcPr>
            <w:tcW w:w="709" w:type="dxa"/>
          </w:tcPr>
          <w:p>
            <w:pPr>
              <w:jc w:val="center"/>
              <w:rPr>
                <w:sz w:val="22"/>
                <w:szCs w:val="22"/>
              </w:rPr>
            </w:pPr>
            <w:r>
              <w:rPr>
                <w:sz w:val="22"/>
                <w:szCs w:val="22"/>
              </w:rPr>
              <w:t>12.</w:t>
            </w:r>
          </w:p>
        </w:tc>
        <w:tc>
          <w:tcPr>
            <w:tcW w:w="5812" w:type="dxa"/>
          </w:tcPr>
          <w:p>
            <w:pPr>
              <w:rPr>
                <w:sz w:val="22"/>
                <w:szCs w:val="22"/>
              </w:rPr>
            </w:pPr>
            <w:r>
              <w:rPr>
                <w:sz w:val="22"/>
                <w:szCs w:val="22"/>
              </w:rPr>
              <w:t>Poilsio (didelio ploto patalpos)</w:t>
            </w:r>
          </w:p>
        </w:tc>
        <w:tc>
          <w:tcPr>
            <w:tcW w:w="2438" w:type="dxa"/>
          </w:tcPr>
          <w:p>
            <w:pPr>
              <w:jc w:val="center"/>
              <w:rPr>
                <w:sz w:val="22"/>
                <w:szCs w:val="22"/>
              </w:rPr>
            </w:pPr>
            <w:r>
              <w:rPr>
                <w:sz w:val="22"/>
                <w:szCs w:val="22"/>
              </w:rPr>
              <w:t>6</w:t>
            </w:r>
          </w:p>
        </w:tc>
      </w:tr>
      <w:tr>
        <w:tc>
          <w:tcPr>
            <w:tcW w:w="709" w:type="dxa"/>
          </w:tcPr>
          <w:p>
            <w:pPr>
              <w:jc w:val="center"/>
              <w:rPr>
                <w:sz w:val="22"/>
                <w:szCs w:val="22"/>
              </w:rPr>
            </w:pPr>
            <w:r>
              <w:rPr>
                <w:sz w:val="22"/>
                <w:szCs w:val="22"/>
              </w:rPr>
              <w:t>13.</w:t>
            </w:r>
          </w:p>
        </w:tc>
        <w:tc>
          <w:tcPr>
            <w:tcW w:w="5812" w:type="dxa"/>
          </w:tcPr>
          <w:p>
            <w:pPr>
              <w:rPr>
                <w:sz w:val="22"/>
                <w:szCs w:val="22"/>
              </w:rPr>
            </w:pPr>
            <w:r>
              <w:rPr>
                <w:sz w:val="22"/>
                <w:szCs w:val="22"/>
              </w:rPr>
              <w:t>Poilsio (mažo ploto patalpos)</w:t>
            </w:r>
          </w:p>
        </w:tc>
        <w:tc>
          <w:tcPr>
            <w:tcW w:w="2438" w:type="dxa"/>
          </w:tcPr>
          <w:p>
            <w:pPr>
              <w:jc w:val="center"/>
              <w:rPr>
                <w:sz w:val="22"/>
                <w:szCs w:val="22"/>
              </w:rPr>
            </w:pPr>
            <w:r>
              <w:rPr>
                <w:sz w:val="22"/>
                <w:szCs w:val="22"/>
              </w:rPr>
              <w:t>7,5</w:t>
            </w:r>
          </w:p>
        </w:tc>
      </w:tr>
      <w:tr>
        <w:tc>
          <w:tcPr>
            <w:tcW w:w="709" w:type="dxa"/>
          </w:tcPr>
          <w:p>
            <w:pPr>
              <w:jc w:val="center"/>
              <w:rPr>
                <w:sz w:val="22"/>
                <w:szCs w:val="22"/>
              </w:rPr>
            </w:pPr>
            <w:r>
              <w:rPr>
                <w:sz w:val="22"/>
                <w:szCs w:val="22"/>
              </w:rPr>
              <w:t>14.</w:t>
            </w:r>
          </w:p>
        </w:tc>
        <w:tc>
          <w:tcPr>
            <w:tcW w:w="5812" w:type="dxa"/>
          </w:tcPr>
          <w:p>
            <w:pPr>
              <w:rPr>
                <w:sz w:val="22"/>
                <w:szCs w:val="22"/>
              </w:rPr>
            </w:pPr>
            <w:r>
              <w:rPr>
                <w:sz w:val="22"/>
                <w:szCs w:val="22"/>
              </w:rPr>
              <w:t>Administracinės (darbo patalpa be pertvarų)</w:t>
            </w:r>
          </w:p>
        </w:tc>
        <w:tc>
          <w:tcPr>
            <w:tcW w:w="2438" w:type="dxa"/>
          </w:tcPr>
          <w:p>
            <w:pPr>
              <w:jc w:val="center"/>
              <w:rPr>
                <w:sz w:val="22"/>
                <w:szCs w:val="22"/>
              </w:rPr>
            </w:pPr>
            <w:r>
              <w:rPr>
                <w:sz w:val="22"/>
                <w:szCs w:val="22"/>
              </w:rPr>
              <w:t>2,3</w:t>
            </w:r>
          </w:p>
        </w:tc>
      </w:tr>
      <w:tr>
        <w:tc>
          <w:tcPr>
            <w:tcW w:w="709" w:type="dxa"/>
          </w:tcPr>
          <w:p>
            <w:pPr>
              <w:jc w:val="center"/>
              <w:rPr>
                <w:sz w:val="22"/>
                <w:szCs w:val="22"/>
              </w:rPr>
            </w:pPr>
            <w:r>
              <w:rPr>
                <w:sz w:val="22"/>
                <w:szCs w:val="22"/>
              </w:rPr>
              <w:t>15.</w:t>
            </w:r>
          </w:p>
        </w:tc>
        <w:tc>
          <w:tcPr>
            <w:tcW w:w="5812" w:type="dxa"/>
          </w:tcPr>
          <w:p>
            <w:pPr>
              <w:rPr>
                <w:sz w:val="22"/>
                <w:szCs w:val="22"/>
              </w:rPr>
            </w:pPr>
            <w:r>
              <w:rPr>
                <w:sz w:val="22"/>
                <w:szCs w:val="22"/>
              </w:rPr>
              <w:t>Administracinės (pertvaromis atskirtos darbo vietos )</w:t>
            </w:r>
          </w:p>
        </w:tc>
        <w:tc>
          <w:tcPr>
            <w:tcW w:w="2438" w:type="dxa"/>
          </w:tcPr>
          <w:p>
            <w:pPr>
              <w:jc w:val="center"/>
              <w:rPr>
                <w:sz w:val="22"/>
                <w:szCs w:val="22"/>
              </w:rPr>
            </w:pPr>
            <w:r>
              <w:rPr>
                <w:sz w:val="22"/>
                <w:szCs w:val="22"/>
              </w:rPr>
              <w:t>3</w:t>
            </w:r>
          </w:p>
        </w:tc>
      </w:tr>
      <w:tr>
        <w:tc>
          <w:tcPr>
            <w:tcW w:w="709" w:type="dxa"/>
          </w:tcPr>
          <w:p>
            <w:pPr>
              <w:jc w:val="center"/>
              <w:rPr>
                <w:sz w:val="22"/>
                <w:szCs w:val="22"/>
              </w:rPr>
            </w:pPr>
            <w:r>
              <w:rPr>
                <w:sz w:val="22"/>
                <w:szCs w:val="22"/>
              </w:rPr>
              <w:t>16.</w:t>
            </w:r>
          </w:p>
        </w:tc>
        <w:tc>
          <w:tcPr>
            <w:tcW w:w="5812" w:type="dxa"/>
          </w:tcPr>
          <w:p>
            <w:pPr>
              <w:rPr>
                <w:sz w:val="22"/>
                <w:szCs w:val="22"/>
              </w:rPr>
            </w:pPr>
            <w:r>
              <w:rPr>
                <w:sz w:val="22"/>
                <w:szCs w:val="22"/>
              </w:rPr>
              <w:t xml:space="preserve">Gamybos </w:t>
            </w:r>
          </w:p>
        </w:tc>
        <w:tc>
          <w:tcPr>
            <w:tcW w:w="2438" w:type="dxa"/>
          </w:tcPr>
          <w:p>
            <w:pPr>
              <w:jc w:val="center"/>
              <w:rPr>
                <w:sz w:val="22"/>
                <w:szCs w:val="22"/>
              </w:rPr>
            </w:pPr>
            <w:r>
              <w:rPr>
                <w:sz w:val="22"/>
                <w:szCs w:val="22"/>
              </w:rPr>
              <w:t>3,2</w:t>
            </w:r>
          </w:p>
        </w:tc>
      </w:tr>
      <w:tr>
        <w:tc>
          <w:tcPr>
            <w:tcW w:w="709" w:type="dxa"/>
          </w:tcPr>
          <w:p>
            <w:pPr>
              <w:jc w:val="center"/>
              <w:rPr>
                <w:sz w:val="22"/>
                <w:szCs w:val="22"/>
              </w:rPr>
            </w:pPr>
            <w:r>
              <w:rPr>
                <w:sz w:val="22"/>
                <w:szCs w:val="22"/>
              </w:rPr>
              <w:t>17.</w:t>
            </w:r>
          </w:p>
        </w:tc>
        <w:tc>
          <w:tcPr>
            <w:tcW w:w="5812" w:type="dxa"/>
          </w:tcPr>
          <w:p>
            <w:pPr>
              <w:rPr>
                <w:sz w:val="22"/>
                <w:szCs w:val="22"/>
              </w:rPr>
            </w:pPr>
            <w:r>
              <w:rPr>
                <w:sz w:val="22"/>
                <w:szCs w:val="22"/>
              </w:rPr>
              <w:t xml:space="preserve">Administracinės (pašto patalpos) </w:t>
            </w:r>
          </w:p>
        </w:tc>
        <w:tc>
          <w:tcPr>
            <w:tcW w:w="2438" w:type="dxa"/>
          </w:tcPr>
          <w:p>
            <w:pPr>
              <w:jc w:val="center"/>
              <w:rPr>
                <w:sz w:val="22"/>
                <w:szCs w:val="22"/>
              </w:rPr>
            </w:pPr>
            <w:r>
              <w:rPr>
                <w:sz w:val="22"/>
                <w:szCs w:val="22"/>
              </w:rPr>
              <w:t>3,2</w:t>
            </w:r>
          </w:p>
        </w:tc>
      </w:tr>
      <w:tr>
        <w:tc>
          <w:tcPr>
            <w:tcW w:w="709" w:type="dxa"/>
          </w:tcPr>
          <w:p>
            <w:pPr>
              <w:jc w:val="center"/>
              <w:rPr>
                <w:sz w:val="22"/>
                <w:szCs w:val="22"/>
              </w:rPr>
            </w:pPr>
            <w:r>
              <w:rPr>
                <w:sz w:val="22"/>
                <w:szCs w:val="22"/>
              </w:rPr>
              <w:t>18.</w:t>
            </w:r>
          </w:p>
        </w:tc>
        <w:tc>
          <w:tcPr>
            <w:tcW w:w="5812" w:type="dxa"/>
          </w:tcPr>
          <w:p>
            <w:pPr>
              <w:rPr>
                <w:sz w:val="22"/>
                <w:szCs w:val="22"/>
              </w:rPr>
            </w:pPr>
            <w:r>
              <w:rPr>
                <w:sz w:val="22"/>
                <w:szCs w:val="22"/>
              </w:rPr>
              <w:t>Specialioji (kalėjimo kameros)</w:t>
            </w:r>
          </w:p>
        </w:tc>
        <w:tc>
          <w:tcPr>
            <w:tcW w:w="2438" w:type="dxa"/>
          </w:tcPr>
          <w:p>
            <w:pPr>
              <w:jc w:val="center"/>
              <w:rPr>
                <w:sz w:val="22"/>
                <w:szCs w:val="22"/>
              </w:rPr>
            </w:pPr>
            <w:r>
              <w:rPr>
                <w:sz w:val="22"/>
                <w:szCs w:val="22"/>
              </w:rPr>
              <w:t>4</w:t>
            </w:r>
          </w:p>
        </w:tc>
      </w:tr>
      <w:tr>
        <w:tc>
          <w:tcPr>
            <w:tcW w:w="709" w:type="dxa"/>
          </w:tcPr>
          <w:p>
            <w:pPr>
              <w:jc w:val="center"/>
              <w:rPr>
                <w:sz w:val="22"/>
                <w:szCs w:val="22"/>
              </w:rPr>
            </w:pPr>
            <w:r>
              <w:rPr>
                <w:sz w:val="22"/>
                <w:szCs w:val="22"/>
              </w:rPr>
              <w:t>19.</w:t>
            </w:r>
          </w:p>
        </w:tc>
        <w:tc>
          <w:tcPr>
            <w:tcW w:w="5812" w:type="dxa"/>
          </w:tcPr>
          <w:p>
            <w:pPr>
              <w:rPr>
                <w:sz w:val="22"/>
                <w:szCs w:val="22"/>
              </w:rPr>
            </w:pPr>
            <w:r>
              <w:rPr>
                <w:sz w:val="22"/>
                <w:szCs w:val="22"/>
              </w:rPr>
              <w:t>Viešbučių (priimamasis)</w:t>
            </w:r>
          </w:p>
        </w:tc>
        <w:tc>
          <w:tcPr>
            <w:tcW w:w="2438" w:type="dxa"/>
          </w:tcPr>
          <w:p>
            <w:pPr>
              <w:jc w:val="center"/>
              <w:rPr>
                <w:sz w:val="22"/>
                <w:szCs w:val="22"/>
              </w:rPr>
            </w:pPr>
            <w:r>
              <w:rPr>
                <w:sz w:val="22"/>
                <w:szCs w:val="22"/>
              </w:rPr>
              <w:t>4</w:t>
            </w:r>
          </w:p>
        </w:tc>
      </w:tr>
      <w:tr>
        <w:tc>
          <w:tcPr>
            <w:tcW w:w="709" w:type="dxa"/>
          </w:tcPr>
          <w:p>
            <w:pPr>
              <w:jc w:val="center"/>
              <w:rPr>
                <w:sz w:val="22"/>
                <w:szCs w:val="22"/>
              </w:rPr>
            </w:pPr>
            <w:r>
              <w:rPr>
                <w:sz w:val="22"/>
                <w:szCs w:val="22"/>
              </w:rPr>
              <w:t>20.</w:t>
            </w:r>
          </w:p>
        </w:tc>
        <w:tc>
          <w:tcPr>
            <w:tcW w:w="5812" w:type="dxa"/>
          </w:tcPr>
          <w:p>
            <w:pPr>
              <w:rPr>
                <w:sz w:val="22"/>
                <w:szCs w:val="22"/>
              </w:rPr>
            </w:pPr>
            <w:r>
              <w:rPr>
                <w:sz w:val="22"/>
                <w:szCs w:val="22"/>
              </w:rPr>
              <w:t>Poilsio (kambariai, tualetų ir vonios patalpos)</w:t>
            </w:r>
          </w:p>
        </w:tc>
        <w:tc>
          <w:tcPr>
            <w:tcW w:w="2438" w:type="dxa"/>
          </w:tcPr>
          <w:p>
            <w:pPr>
              <w:jc w:val="center"/>
              <w:rPr>
                <w:sz w:val="22"/>
                <w:szCs w:val="22"/>
              </w:rPr>
            </w:pPr>
            <w:r>
              <w:rPr>
                <w:sz w:val="22"/>
                <w:szCs w:val="22"/>
              </w:rPr>
              <w:t>5</w:t>
            </w:r>
          </w:p>
        </w:tc>
      </w:tr>
    </w:tbl>
    <w:p>
      <w:pPr>
        <w:ind w:firstLine="851"/>
        <w:jc w:val="both"/>
        <w:rPr>
          <w:szCs w:val="24"/>
        </w:rPr>
      </w:pPr>
    </w:p>
    <w:p>
      <w:pPr>
        <w:ind w:firstLine="851"/>
        <w:jc w:val="both"/>
      </w:pPr>
      <w:r>
        <w:t>23.3</w:t>
      </w:r>
      <w:r>
        <w:t>. patalpose, kuriose nėra natūralaus apšvietimo, apšvietimo įrangoje privalo būti įdiegti judesio davikliai ar (ir) sumontuotos laiko relės, išjungiančios apšvietimo įrangą, kai patalpoje nėra žmonių;</w:t>
      </w:r>
    </w:p>
    <w:p>
      <w:pPr>
        <w:ind w:firstLine="851"/>
        <w:jc w:val="both"/>
      </w:pPr>
      <w:r>
        <w:t>23.4</w:t>
      </w:r>
      <w:r>
        <w:t xml:space="preserve">. bendrojo naudojimo patalpose, kuriose yra natūralus apšvietimas, apšvietimo įranga turi būti automatinė, kad apšvietimas būtų įjungiamas, stiprinamas ir prislopinamas priklausomai nuo natūralios šviesos srauto, arčiausiai langų esančią apšvietimo įrangą turi būti galima išjungti atskirai. </w:t>
      </w:r>
    </w:p>
    <w:p>
      <w:pPr>
        <w:keepNext/>
        <w:keepLines/>
        <w:ind w:firstLine="720"/>
        <w:jc w:val="center"/>
        <w:rPr>
          <w:lang w:eastAsia="lt-LT"/>
        </w:rPr>
      </w:pPr>
    </w:p>
    <w:p>
      <w:pPr>
        <w:rPr>
          <w:sz w:val="18"/>
          <w:szCs w:val="18"/>
        </w:rPr>
      </w:pPr>
    </w:p>
    <w:p>
      <w:pPr>
        <w:suppressAutoHyphens/>
        <w:jc w:val="center"/>
        <w:rPr>
          <w:b/>
          <w:bCs/>
          <w:szCs w:val="24"/>
        </w:rPr>
      </w:pPr>
      <w:r>
        <w:rPr>
          <w:b/>
          <w:bCs/>
          <w:szCs w:val="24"/>
        </w:rPr>
        <w:t>XV</w:t>
      </w:r>
      <w:r>
        <w:rPr>
          <w:b/>
          <w:bCs/>
          <w:szCs w:val="24"/>
        </w:rPr>
        <w:t xml:space="preserve"> SKYRIUS</w:t>
      </w:r>
    </w:p>
    <w:p>
      <w:pPr>
        <w:suppressAutoHyphens/>
        <w:jc w:val="center"/>
        <w:rPr>
          <w:b/>
          <w:bCs/>
          <w:szCs w:val="24"/>
        </w:rPr>
      </w:pPr>
      <w:r>
        <w:rPr>
          <w:b/>
          <w:bCs/>
          <w:szCs w:val="24"/>
        </w:rPr>
        <w:t>VANDENS MAIŠYTUVAI IR DUŠAI</w:t>
      </w:r>
    </w:p>
    <w:p>
      <w:pPr>
        <w:suppressAutoHyphens/>
        <w:jc w:val="both"/>
        <w:rPr>
          <w:szCs w:val="24"/>
        </w:rPr>
      </w:pPr>
    </w:p>
    <w:p>
      <w:pPr>
        <w:suppressAutoHyphens/>
        <w:ind w:firstLine="851"/>
        <w:jc w:val="both"/>
        <w:rPr>
          <w:szCs w:val="24"/>
        </w:rPr>
      </w:pPr>
      <w:r>
        <w:rPr>
          <w:szCs w:val="24"/>
        </w:rPr>
        <w:t>24</w:t>
      </w:r>
      <w:r>
        <w:rPr>
          <w:szCs w:val="24"/>
        </w:rPr>
        <w:t>. Vandens maišytuvai ir dušai:</w:t>
      </w:r>
    </w:p>
    <w:p>
      <w:pPr>
        <w:suppressAutoHyphens/>
        <w:ind w:firstLine="851"/>
        <w:jc w:val="both"/>
        <w:rPr>
          <w:szCs w:val="24"/>
        </w:rPr>
      </w:pPr>
      <w:r>
        <w:rPr>
          <w:szCs w:val="24"/>
        </w:rPr>
        <w:t>24.1</w:t>
      </w:r>
      <w:r>
        <w:rPr>
          <w:szCs w:val="24"/>
        </w:rPr>
        <w:t xml:space="preserve">. vandens maišytuvai ir dušai turi turėti momentinio vandens panaudojimo trukmės ribojimo galimybę vadovaujantis bent vienu iš šių minimalių aplinkos apsaugos kriterijų: </w:t>
      </w:r>
    </w:p>
    <w:p>
      <w:pPr>
        <w:suppressAutoHyphens/>
        <w:ind w:firstLine="851"/>
        <w:jc w:val="both"/>
        <w:rPr>
          <w:szCs w:val="24"/>
        </w:rPr>
      </w:pPr>
      <w:r>
        <w:rPr>
          <w:szCs w:val="24"/>
        </w:rPr>
        <w:t>24.1.1</w:t>
      </w:r>
      <w:r>
        <w:rPr>
          <w:szCs w:val="24"/>
        </w:rPr>
        <w:t>. trukmės kontrolės sistema: nustatyta ilgiausia vandens tekėjimo trukmė maišytuvais turi neviršyti 15 sekundžių, dušais – 35 sekundžių. Gaminys turi būti suprojektuotas taip, kad montuotojas galėtų nustatyti tekėjimo trukmę atsižvelgdamas į planuojamą gaminio naudojimo būdą;</w:t>
      </w:r>
    </w:p>
    <w:p>
      <w:pPr>
        <w:suppressAutoHyphens/>
        <w:ind w:firstLine="851"/>
        <w:jc w:val="both"/>
        <w:rPr>
          <w:szCs w:val="24"/>
        </w:rPr>
      </w:pPr>
      <w:r>
        <w:rPr>
          <w:szCs w:val="24"/>
        </w:rPr>
        <w:t>24.1.2</w:t>
      </w:r>
      <w:r>
        <w:rPr>
          <w:szCs w:val="24"/>
        </w:rPr>
        <w:t>. davikliais valdoma sistema: santechnikos įtaisų su davikliu išjungimo atidėjimas baigus leisti vandenį maišytuvais turi neviršyti 2 sekundžių, dušais – 3 sekundžių. Santechnikos įtaisuose su davikliu turi būti įmontuotas „techninis saugumo elementas“, kuris būtų iš anksto nustatytas išjungti įtaisą ne vėliau kaip po 2 minučių, kad būtų išvengta avarijos ar nuolatinio vandens tekėjimo iš maišytuvo arba dušo, kai jie nenaudojami.</w:t>
      </w:r>
      <w:r>
        <w:t xml:space="preserve"> </w:t>
      </w:r>
    </w:p>
    <w:p>
      <w:pPr>
        <w:pStyle w:val="PlainText"/>
        <w:rPr>
          <w:rFonts w:ascii="Times New Roman" w:eastAsia="MS Mincho" w:hAnsi="Times New Roman"/>
          <w:sz w:val="20"/>
          <w:i/>
          <w:iCs/>
        </w:rPr>
      </w:pPr>
      <w:r>
        <w:rPr>
          <w:rFonts w:ascii="Times New Roman" w:eastAsia="MS Mincho" w:hAnsi="Times New Roman"/>
          <w:sz w:val="20"/>
          <w:i/>
          <w:iCs/>
        </w:rPr>
        <w:t>Skyriaus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keepNext/>
        <w:keepLines/>
        <w:jc w:val="center"/>
        <w:rPr>
          <w:b/>
          <w:bCs/>
          <w:szCs w:val="24"/>
        </w:rPr>
      </w:pPr>
      <w:r>
        <w:rPr>
          <w:b/>
          <w:bCs/>
          <w:szCs w:val="24"/>
          <w:lang w:eastAsia="lt-LT"/>
        </w:rPr>
        <w:t>XVI</w:t>
      </w:r>
      <w:r>
        <w:rPr>
          <w:b/>
          <w:bCs/>
          <w:szCs w:val="24"/>
          <w:lang w:eastAsia="lt-LT"/>
        </w:rPr>
        <w:t xml:space="preserve"> </w:t>
      </w:r>
      <w:r>
        <w:rPr>
          <w:b/>
          <w:bCs/>
          <w:szCs w:val="24"/>
        </w:rPr>
        <w:t>SKYRIUS</w:t>
      </w:r>
    </w:p>
    <w:p>
      <w:pPr>
        <w:keepNext/>
        <w:keepLines/>
        <w:jc w:val="center"/>
        <w:rPr>
          <w:b/>
          <w:bCs/>
          <w:szCs w:val="24"/>
        </w:rPr>
      </w:pPr>
      <w:r>
        <w:rPr>
          <w:b/>
          <w:bCs/>
          <w:szCs w:val="24"/>
        </w:rPr>
        <w:t>VANDENS ŠILDYTUVAI</w:t>
      </w:r>
    </w:p>
    <w:p>
      <w:pPr>
        <w:rPr>
          <w:sz w:val="22"/>
          <w:szCs w:val="22"/>
        </w:rPr>
      </w:pPr>
    </w:p>
    <w:p>
      <w:pPr>
        <w:suppressLineNumbers/>
        <w:suppressAutoHyphens/>
        <w:ind w:firstLine="851"/>
        <w:jc w:val="both"/>
        <w:rPr>
          <w:kern w:val="2"/>
          <w:szCs w:val="24"/>
        </w:rPr>
      </w:pPr>
      <w:r>
        <w:rPr>
          <w:kern w:val="2"/>
          <w:szCs w:val="24"/>
        </w:rPr>
        <w:t>25</w:t>
      </w:r>
      <w:r>
        <w:rPr>
          <w:kern w:val="2"/>
          <w:szCs w:val="24"/>
        </w:rPr>
        <w:t>. Vandens šildytuvai (&lt;400 kW):</w:t>
      </w:r>
    </w:p>
    <w:p>
      <w:pPr>
        <w:suppressAutoHyphens/>
        <w:ind w:firstLine="851"/>
        <w:jc w:val="both"/>
        <w:rPr>
          <w:kern w:val="2"/>
        </w:rPr>
      </w:pPr>
      <w:r>
        <w:rPr>
          <w:szCs w:val="24"/>
        </w:rPr>
        <w:t>25.1</w:t>
      </w:r>
      <w:r>
        <w:rPr>
          <w:szCs w:val="24"/>
        </w:rPr>
        <w:t>. prekės, įtrauktos į Lietuvos Respublikos energetikos ministro 2015 m. birželio 18 d. įsakymu Nr. 1-154 „Dėl Prekių, išskyrus kelių transporto priemones, kurioms viešųjų pirkimų metu taikomi energijos vartojimo efektyvumo reikalavimai, sąrašo patvirtinimo“ patvirtintą Prekių, išskyrus kelių transporto priemones, kurioms viešųjų pirkimų metu taikomi energijos vartojimo efektyvumo reikalavimai, sąrašą, turi atitikti aukščiausio energinio efektyvumo klasę (prieinamą Lietuvos rinkoje), nustatytą Europos Komisijos reglamentuose dėl gaminių energijos vartojimo efektyvumo ženklinimo reikalavimų. Jeigu minėti reikalavimai prekėms netaikomi, prekės turi atitikti Europos Komisijos reglamentuose dėl gaminių ekologinio projektavimo nustatytus efektyvaus energijos vartojimo kriterijus.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ind w:firstLine="851"/>
        <w:jc w:val="both"/>
      </w:pPr>
      <w:r>
        <w:t>25.2</w:t>
      </w:r>
      <w:r>
        <w:t>. gaminiui turi būti suteikiama ne trumpesnė kaip 4 metų taisymo arba pakeitimo garantija.</w:t>
      </w:r>
    </w:p>
    <w:p>
      <w:pPr>
        <w:ind w:firstLine="851"/>
        <w:jc w:val="both"/>
      </w:pPr>
    </w:p>
    <w:p>
      <w:pPr>
        <w:keepNext/>
        <w:keepLines/>
        <w:suppressAutoHyphens/>
        <w:jc w:val="center"/>
        <w:rPr>
          <w:b/>
          <w:bCs/>
          <w:lang w:eastAsia="lt-LT"/>
        </w:rPr>
      </w:pPr>
      <w:r>
        <w:rPr>
          <w:b/>
          <w:bCs/>
          <w:lang w:eastAsia="lt-LT"/>
        </w:rPr>
        <w:t>XVII</w:t>
      </w:r>
      <w:r>
        <w:rPr>
          <w:b/>
          <w:bCs/>
          <w:lang w:eastAsia="lt-LT"/>
        </w:rPr>
        <w:t xml:space="preserve"> SKYRIUS</w:t>
      </w:r>
    </w:p>
    <w:p>
      <w:pPr>
        <w:jc w:val="center"/>
        <w:rPr>
          <w:rFonts w:eastAsia="Calibri"/>
          <w:b/>
          <w:bCs/>
          <w:szCs w:val="24"/>
        </w:rPr>
      </w:pPr>
      <w:r>
        <w:rPr>
          <w:rFonts w:eastAsia="Calibri"/>
          <w:b/>
          <w:bCs/>
          <w:szCs w:val="24"/>
        </w:rPr>
        <w:t>KELIŲ PROJEKTAVIMO PASLAUGOS IR STATYBOS DARBAI, KELIO ELEMENTAI</w:t>
      </w:r>
    </w:p>
    <w:p>
      <w:pPr>
        <w:jc w:val="both"/>
        <w:rPr>
          <w:rFonts w:eastAsia="Calibri"/>
          <w:b/>
          <w:bCs/>
          <w:szCs w:val="24"/>
        </w:rPr>
      </w:pPr>
    </w:p>
    <w:p>
      <w:pPr>
        <w:suppressAutoHyphens/>
        <w:ind w:firstLine="851"/>
        <w:jc w:val="both"/>
        <w:rPr>
          <w:color w:val="000000"/>
          <w:szCs w:val="24"/>
          <w:lang w:eastAsia="en-GB"/>
        </w:rPr>
      </w:pPr>
      <w:r>
        <w:rPr>
          <w:color w:val="000000"/>
          <w:szCs w:val="24"/>
          <w:lang w:eastAsia="en-GB"/>
        </w:rPr>
        <w:t>26</w:t>
      </w:r>
      <w:r>
        <w:rPr>
          <w:color w:val="000000"/>
          <w:szCs w:val="24"/>
          <w:lang w:eastAsia="en-GB"/>
        </w:rPr>
        <w:t xml:space="preserve">. Kelių projektavimo paslaugos ir jų statybos darbai: </w:t>
      </w:r>
    </w:p>
    <w:p>
      <w:pPr>
        <w:suppressAutoHyphens/>
        <w:ind w:firstLine="851"/>
        <w:jc w:val="both"/>
        <w:rPr>
          <w:color w:val="000000"/>
          <w:szCs w:val="24"/>
          <w:lang w:eastAsia="en-GB"/>
        </w:rPr>
      </w:pPr>
      <w:r>
        <w:rPr>
          <w:color w:val="000000"/>
          <w:szCs w:val="24"/>
          <w:lang w:eastAsia="en-GB"/>
        </w:rPr>
        <w:t>26.1</w:t>
      </w:r>
      <w:r>
        <w:rPr>
          <w:color w:val="000000"/>
          <w:szCs w:val="24"/>
          <w:lang w:eastAsia="en-GB"/>
        </w:rPr>
        <w:t xml:space="preserve">. tiekėjas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kitų pirkimų atvejais lygiaverčiai įrodymai priimami, tik jeigu tiekėjas dėl nuo jo nepriklausančių objektyvių priežasčių negali pateikti sertifikatų per nustatytą laiką). </w:t>
      </w:r>
    </w:p>
    <w:p>
      <w:pPr>
        <w:suppressAutoHyphens/>
        <w:ind w:firstLine="851"/>
        <w:jc w:val="both"/>
        <w:rPr>
          <w:color w:val="000000"/>
          <w:szCs w:val="24"/>
          <w:lang w:eastAsia="en-GB"/>
        </w:rPr>
      </w:pPr>
      <w:r>
        <w:rPr>
          <w:color w:val="000000"/>
          <w:szCs w:val="24"/>
          <w:lang w:eastAsia="en-GB"/>
        </w:rPr>
        <w:t>Atitiktį reikalavimui įrodantys dokumentai: nepriklausomos įstaigos išduotas sertifikatas. Pirkimo vykdytojas pripažįsta lygiaverčius sertifikatus, išduotus kitose valstybėse narėse įsteigtų nepriklausomų įstaigų. Pirkimo vykdytojas, atlikdamas supaprastintą pirkimą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 o kitų pirkimų atvejais lygiaverčiai įrodymai priimami</w:t>
      </w:r>
      <w:r>
        <w:rPr>
          <w:b/>
          <w:bCs/>
          <w:color w:val="000000"/>
          <w:szCs w:val="24"/>
          <w:lang w:eastAsia="en-GB"/>
        </w:rPr>
        <w:t>,</w:t>
      </w:r>
      <w:r>
        <w:rPr>
          <w:color w:val="000000"/>
          <w:szCs w:val="24"/>
          <w:lang w:eastAsia="en-GB"/>
        </w:rPr>
        <w:t xml:space="preserve"> tik jeigu tiekėjas dėl nuo jo nepriklausančių objektyvių priežasčių negali pateikti sertifikatų per nustatytą laiką;</w:t>
      </w:r>
    </w:p>
    <w:p>
      <w:pPr>
        <w:ind w:firstLine="851"/>
        <w:jc w:val="both"/>
        <w:rPr>
          <w:color w:val="000000"/>
          <w:szCs w:val="24"/>
          <w:lang w:eastAsia="lt-LT"/>
        </w:rPr>
      </w:pPr>
      <w:r>
        <w:rPr>
          <w:color w:val="000000"/>
          <w:szCs w:val="24"/>
          <w:lang w:eastAsia="lt-LT"/>
        </w:rPr>
        <w:t>26.2</w:t>
      </w:r>
      <w:r>
        <w:rPr>
          <w:color w:val="000000"/>
          <w:szCs w:val="24"/>
          <w:lang w:eastAsia="lt-LT"/>
        </w:rPr>
        <w:t>. kelių naujos statybos, rekonstravimo, kapitalinio remonto projektavimo paslaugoms ir (ar) statybos darbams taikomi ne mažiau kaip du iš šių minimalių aplinkos apsaugos kriterijų:  </w:t>
      </w:r>
    </w:p>
    <w:p>
      <w:pPr>
        <w:ind w:firstLine="851"/>
        <w:jc w:val="both"/>
        <w:rPr>
          <w:strike/>
          <w:color w:val="000000"/>
          <w:szCs w:val="24"/>
          <w:lang w:eastAsia="lt-LT"/>
        </w:rPr>
      </w:pPr>
      <w:r>
        <w:rPr>
          <w:color w:val="000000"/>
          <w:szCs w:val="24"/>
          <w:lang w:eastAsia="lt-LT"/>
        </w:rPr>
        <w:t>26.2.1</w:t>
      </w:r>
      <w:r>
        <w:rPr>
          <w:color w:val="000000"/>
          <w:szCs w:val="24"/>
          <w:lang w:eastAsia="lt-LT"/>
        </w:rPr>
        <w:t>. pasirinktinai kelio dangos konstrukcijos sluoksniui panaudoti ne mažiau kaip vieną antrinio arba pakartotinio panaudojimo medžiagą ir (ar) perdirbtą medžiagą, ir (ar) nepavojingąją atlieką, ir (ar) šalutinį gamybos produktą, ir (ar) iš atsinaujinančių šaltinių pagamintą medžiagą, ir (ar) žemesnės anglies dvideginio emisijos medžiagą, kurios atitinka numatytai paskirčiai keliamus techninius reikalavimus, arba įrodytas tų medžiagų tinkamumas numatytai taikymo paskirčiai</w:t>
      </w:r>
      <w:r>
        <w:rPr>
          <w:strike/>
          <w:color w:val="000000"/>
          <w:szCs w:val="24"/>
          <w:lang w:eastAsia="lt-LT"/>
        </w:rPr>
        <w:t xml:space="preserve"> </w:t>
      </w:r>
      <w:r>
        <w:rPr>
          <w:color w:val="000000"/>
          <w:szCs w:val="24"/>
          <w:lang w:eastAsia="lt-LT"/>
        </w:rPr>
        <w:t>pagal nustatytus minimalius aplinkos apsaugos kriterijus:</w:t>
      </w:r>
    </w:p>
    <w:p>
      <w:pPr>
        <w:ind w:firstLine="851"/>
        <w:jc w:val="both"/>
        <w:rPr>
          <w:color w:val="000000"/>
          <w:szCs w:val="24"/>
          <w:lang w:eastAsia="lt-LT"/>
        </w:rPr>
      </w:pPr>
      <w:r>
        <w:rPr>
          <w:color w:val="000000"/>
          <w:szCs w:val="24"/>
          <w:lang w:eastAsia="lt-LT"/>
        </w:rPr>
        <w:t>26.2.1.1</w:t>
      </w:r>
      <w:r>
        <w:rPr>
          <w:color w:val="000000"/>
          <w:szCs w:val="24"/>
          <w:lang w:eastAsia="lt-LT"/>
        </w:rPr>
        <w:t>. medžiagos ar produkto minimalus kiekis turi atitikti nustatytas vertes šioje lentelėje:</w:t>
      </w:r>
    </w:p>
    <w:tbl>
      <w:tblPr>
        <w:tblW w:w="9634" w:type="dxa"/>
        <w:tblCellMar>
          <w:left w:w="0" w:type="dxa"/>
          <w:right w:w="0" w:type="dxa"/>
        </w:tblCellMar>
        <w:tblLook w:val="04A0" w:firstRow="1" w:lastRow="0" w:firstColumn="1" w:lastColumn="0" w:noHBand="0" w:noVBand="1"/>
      </w:tblPr>
      <w:tblGrid>
        <w:gridCol w:w="2619"/>
        <w:gridCol w:w="2338"/>
        <w:gridCol w:w="2569"/>
        <w:gridCol w:w="2108"/>
      </w:tblGrid>
      <w:tr>
        <w:tc>
          <w:tcPr>
            <w:tcW w:w="26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pPr>
              <w:jc w:val="both"/>
              <w:rPr>
                <w:szCs w:val="24"/>
                <w:lang w:eastAsia="lt-LT"/>
              </w:rPr>
            </w:pPr>
            <w:r>
              <w:rPr>
                <w:sz w:val="22"/>
                <w:szCs w:val="22"/>
                <w:lang w:eastAsia="lt-LT"/>
              </w:rPr>
              <w:t>Kelio dangos konstrukcijos sluoksnis</w:t>
            </w:r>
          </w:p>
          <w:p>
            <w:pPr>
              <w:ind w:firstLine="57"/>
              <w:jc w:val="both"/>
              <w:rPr>
                <w:szCs w:val="24"/>
                <w:lang w:eastAsia="lt-LT"/>
              </w:rPr>
            </w:pPr>
          </w:p>
        </w:tc>
        <w:tc>
          <w:tcPr>
            <w:tcW w:w="23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pPr>
              <w:jc w:val="both"/>
              <w:rPr>
                <w:szCs w:val="24"/>
                <w:lang w:eastAsia="lt-LT"/>
              </w:rPr>
            </w:pPr>
            <w:r>
              <w:rPr>
                <w:sz w:val="22"/>
                <w:szCs w:val="22"/>
                <w:lang w:eastAsia="lt-LT"/>
              </w:rPr>
              <w:t>Mažiausias užpildų ir priedų kiekis iš perdirbtų medžiagų, nepavojingų atliekų ir (ar) šalutinių gamybos produktų, proc.</w:t>
            </w:r>
          </w:p>
        </w:tc>
        <w:tc>
          <w:tcPr>
            <w:tcW w:w="25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pPr>
              <w:jc w:val="both"/>
              <w:rPr>
                <w:szCs w:val="24"/>
                <w:lang w:eastAsia="lt-LT"/>
              </w:rPr>
            </w:pPr>
            <w:r>
              <w:rPr>
                <w:sz w:val="22"/>
                <w:szCs w:val="22"/>
                <w:lang w:eastAsia="lt-LT"/>
              </w:rPr>
              <w:t>Mažiausias antrinio panaudojimo užpildų ir kelių tiesimo medžiagų (kitam kelio konstrukcijos sluoksniui) kiekis, proc.</w:t>
            </w:r>
          </w:p>
        </w:tc>
        <w:tc>
          <w:tcPr>
            <w:tcW w:w="21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pPr>
              <w:jc w:val="both"/>
              <w:rPr>
                <w:szCs w:val="24"/>
                <w:lang w:eastAsia="lt-LT"/>
              </w:rPr>
            </w:pPr>
            <w:r>
              <w:rPr>
                <w:sz w:val="22"/>
                <w:szCs w:val="22"/>
                <w:lang w:eastAsia="lt-LT"/>
              </w:rPr>
              <w:t>Mažiausias pakartotinio panaudojimo užpildų ir kelių tiesimo medžiagų (tam pačiam kelio dangos konstrukcijos sluoksniui) kiekis, proc.</w:t>
            </w:r>
          </w:p>
        </w:tc>
      </w:tr>
      <w:tr>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pPr>
              <w:jc w:val="both"/>
              <w:rPr>
                <w:szCs w:val="24"/>
                <w:lang w:eastAsia="lt-LT"/>
              </w:rPr>
            </w:pPr>
            <w:r>
              <w:rPr>
                <w:sz w:val="22"/>
                <w:szCs w:val="22"/>
                <w:lang w:eastAsia="lt-LT"/>
              </w:rPr>
              <w:t>Asfalto apatinis sluoksnis ir asfalto pagrindo dangos</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sz w:val="22"/>
                <w:szCs w:val="22"/>
                <w:lang w:eastAsia="lt-LT"/>
              </w:rPr>
              <w:t>0,3</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sz w:val="22"/>
                <w:szCs w:val="22"/>
                <w:lang w:eastAsia="lt-LT"/>
              </w:rPr>
              <w:t xml:space="preserve">15,0 </w:t>
            </w:r>
          </w:p>
        </w:tc>
        <w:tc>
          <w:tcPr>
            <w:tcW w:w="2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sz w:val="22"/>
                <w:szCs w:val="22"/>
                <w:lang w:eastAsia="lt-LT"/>
              </w:rPr>
              <w:t>5,0</w:t>
            </w:r>
          </w:p>
        </w:tc>
      </w:tr>
      <w:tr>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pPr>
              <w:jc w:val="both"/>
              <w:rPr>
                <w:szCs w:val="24"/>
                <w:lang w:eastAsia="lt-LT"/>
              </w:rPr>
            </w:pPr>
            <w:r>
              <w:rPr>
                <w:sz w:val="22"/>
                <w:szCs w:val="22"/>
                <w:lang w:eastAsia="lt-LT"/>
              </w:rPr>
              <w:t>Asfalto pagrindas </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sz w:val="22"/>
                <w:szCs w:val="22"/>
                <w:lang w:eastAsia="lt-LT"/>
              </w:rPr>
              <w:t>1,0</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sz w:val="22"/>
                <w:szCs w:val="22"/>
                <w:lang w:eastAsia="lt-LT"/>
              </w:rPr>
              <w:t>15,0</w:t>
            </w:r>
          </w:p>
        </w:tc>
        <w:tc>
          <w:tcPr>
            <w:tcW w:w="2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sz w:val="22"/>
                <w:szCs w:val="22"/>
                <w:lang w:eastAsia="lt-LT"/>
              </w:rPr>
              <w:t xml:space="preserve">5,0 </w:t>
            </w:r>
          </w:p>
        </w:tc>
      </w:tr>
      <w:tr>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pPr>
              <w:jc w:val="both"/>
              <w:rPr>
                <w:szCs w:val="24"/>
                <w:lang w:eastAsia="lt-LT"/>
              </w:rPr>
            </w:pPr>
            <w:r>
              <w:rPr>
                <w:sz w:val="22"/>
                <w:szCs w:val="22"/>
                <w:lang w:eastAsia="lt-LT"/>
              </w:rPr>
              <w:t>Pagrindas su rišikliais, šaltai regeneruotas pagrindas</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sz w:val="22"/>
                <w:szCs w:val="22"/>
                <w:lang w:eastAsia="lt-LT"/>
              </w:rPr>
              <w:t>1,0</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sz w:val="22"/>
                <w:szCs w:val="22"/>
                <w:lang w:eastAsia="lt-LT"/>
              </w:rPr>
              <w:t>25,0</w:t>
            </w:r>
          </w:p>
        </w:tc>
        <w:tc>
          <w:tcPr>
            <w:tcW w:w="2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trike/>
                <w:szCs w:val="24"/>
                <w:lang w:eastAsia="lt-LT"/>
              </w:rPr>
            </w:pPr>
            <w:r>
              <w:rPr>
                <w:sz w:val="22"/>
                <w:szCs w:val="22"/>
                <w:lang w:eastAsia="lt-LT"/>
              </w:rPr>
              <w:t>15,0</w:t>
            </w:r>
          </w:p>
        </w:tc>
      </w:tr>
      <w:tr>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pPr>
              <w:jc w:val="both"/>
              <w:rPr>
                <w:sz w:val="22"/>
                <w:szCs w:val="22"/>
                <w:lang w:eastAsia="lt-LT"/>
              </w:rPr>
            </w:pPr>
            <w:r>
              <w:rPr>
                <w:sz w:val="22"/>
                <w:szCs w:val="22"/>
                <w:lang w:eastAsia="lt-LT"/>
              </w:rPr>
              <w:t>Pagrindas be rišiklių,</w:t>
            </w:r>
          </w:p>
          <w:p>
            <w:pPr>
              <w:jc w:val="both"/>
              <w:rPr>
                <w:szCs w:val="24"/>
                <w:lang w:eastAsia="lt-LT"/>
              </w:rPr>
            </w:pPr>
            <w:r>
              <w:rPr>
                <w:sz w:val="22"/>
                <w:szCs w:val="22"/>
                <w:lang w:eastAsia="lt-LT"/>
              </w:rPr>
              <w:t>kelkraščių apatinis ir viršutinis sluoksniai</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sz w:val="22"/>
                <w:szCs w:val="22"/>
                <w:lang w:eastAsia="lt-LT"/>
              </w:rPr>
              <w:t>15,0</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highlight w:val="yellow"/>
                <w:lang w:eastAsia="lt-LT"/>
              </w:rPr>
            </w:pPr>
            <w:r>
              <w:rPr>
                <w:sz w:val="22"/>
                <w:szCs w:val="22"/>
                <w:lang w:eastAsia="lt-LT"/>
              </w:rPr>
              <w:t>15,0</w:t>
            </w:r>
          </w:p>
        </w:tc>
        <w:tc>
          <w:tcPr>
            <w:tcW w:w="2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highlight w:val="yellow"/>
                <w:lang w:eastAsia="lt-LT"/>
              </w:rPr>
            </w:pPr>
            <w:r>
              <w:rPr>
                <w:sz w:val="22"/>
                <w:szCs w:val="22"/>
                <w:lang w:eastAsia="lt-LT"/>
              </w:rPr>
              <w:t>15,0</w:t>
            </w:r>
          </w:p>
        </w:tc>
      </w:tr>
      <w:tr>
        <w:trPr>
          <w:trHeight w:val="263"/>
        </w:trPr>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pPr>
              <w:jc w:val="both"/>
              <w:rPr>
                <w:szCs w:val="24"/>
                <w:lang w:eastAsia="lt-LT"/>
              </w:rPr>
            </w:pPr>
            <w:r>
              <w:rPr>
                <w:sz w:val="22"/>
                <w:szCs w:val="22"/>
                <w:lang w:eastAsia="lt-LT"/>
              </w:rPr>
              <w:t>Žemės sankasa ir pylimai</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sz w:val="22"/>
                <w:szCs w:val="22"/>
                <w:lang w:eastAsia="lt-LT"/>
              </w:rPr>
              <w:t>15,0</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 w:val="22"/>
                <w:szCs w:val="22"/>
                <w:lang w:eastAsia="lt-LT"/>
              </w:rPr>
            </w:pPr>
            <w:r>
              <w:rPr>
                <w:sz w:val="22"/>
                <w:szCs w:val="22"/>
                <w:lang w:eastAsia="lt-LT"/>
              </w:rPr>
              <w:t>15,0</w:t>
            </w:r>
          </w:p>
        </w:tc>
        <w:tc>
          <w:tcPr>
            <w:tcW w:w="2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sz w:val="22"/>
                <w:szCs w:val="22"/>
                <w:lang w:eastAsia="lt-LT"/>
              </w:rPr>
              <w:t>-</w:t>
            </w:r>
          </w:p>
        </w:tc>
      </w:tr>
      <w:tr>
        <w:trPr>
          <w:trHeight w:val="282"/>
        </w:trPr>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pPr>
              <w:jc w:val="both"/>
              <w:rPr>
                <w:szCs w:val="24"/>
                <w:lang w:eastAsia="lt-LT"/>
              </w:rPr>
            </w:pPr>
            <w:r>
              <w:rPr>
                <w:sz w:val="22"/>
                <w:szCs w:val="22"/>
                <w:lang w:eastAsia="lt-LT"/>
              </w:rPr>
              <w:t>Apdorota žemės sankasa</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sz w:val="22"/>
                <w:szCs w:val="22"/>
                <w:lang w:eastAsia="lt-LT"/>
              </w:rPr>
              <w:t>1,5</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sz w:val="22"/>
                <w:szCs w:val="22"/>
                <w:lang w:eastAsia="lt-LT"/>
              </w:rPr>
              <w:t>-</w:t>
            </w:r>
          </w:p>
        </w:tc>
        <w:tc>
          <w:tcPr>
            <w:tcW w:w="2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sz w:val="22"/>
                <w:szCs w:val="22"/>
                <w:lang w:eastAsia="lt-LT"/>
              </w:rPr>
              <w:t>-</w:t>
            </w:r>
          </w:p>
        </w:tc>
      </w:tr>
      <w:tr>
        <w:tc>
          <w:tcPr>
            <w:tcW w:w="9634"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pPr>
              <w:jc w:val="both"/>
              <w:rPr>
                <w:szCs w:val="24"/>
                <w:lang w:eastAsia="lt-LT"/>
              </w:rPr>
            </w:pPr>
            <w:r>
              <w:rPr>
                <w:sz w:val="22"/>
                <w:szCs w:val="22"/>
                <w:lang w:eastAsia="lt-LT"/>
              </w:rPr>
              <w:t>Pastabos:</w:t>
            </w:r>
          </w:p>
          <w:p>
            <w:pPr>
              <w:ind w:left="25" w:firstLine="709"/>
              <w:jc w:val="both"/>
              <w:rPr>
                <w:sz w:val="22"/>
                <w:szCs w:val="22"/>
                <w:lang w:eastAsia="lt-LT"/>
              </w:rPr>
            </w:pPr>
            <w:r>
              <w:rPr>
                <w:sz w:val="22"/>
                <w:szCs w:val="22"/>
                <w:lang w:eastAsia="lt-LT"/>
              </w:rPr>
              <w:t>1. Pirkimo vykdytojas, atsižvelgdamas į statinio ir statybos darbų rūšį, esamo statinio konstrukcijas, medžiagas, kitų kelio elementų kiekį ir sudėtį, turi planuoti racionalų ir kuo didesnį šių medžiagų kiekį panaudoti naujo statinio statybai ar atnaujinimui. Naujo statinio statybai, rekonstravimui ar kapitaliniam remontui galima numatyti galimybę naudoti pakartotinio panaudojimo medžiagas arba antrinio panaudojimo medžiagas iš kitų statinių ir (ar) statybų. Jeigu pirkimo vykdytojas aplinkos apsaugos kriterijų nustato kaip pasiūlymų vertinimo kriterijų, papildomo balo reikšmingumas (dydis) turėtų būti siejamas su kuo didesnio kiekio antrinio panaudojimo ir pakartotinio panaudojimo medžiagų, perdirbtų medžiagų, nepavojingų atliekų ir (ar) šalutinių gamybos produktų panaudojimu, užtikrinant reikalaujamą kelio infrastruktūros patvarumą, taip pat nurodant maksimalias reikšmes, kurias viršijus papildomi balai nebus suteikiami.</w:t>
            </w:r>
          </w:p>
          <w:p>
            <w:pPr>
              <w:ind w:left="27" w:firstLine="716"/>
              <w:jc w:val="both"/>
              <w:rPr>
                <w:szCs w:val="24"/>
                <w:lang w:val="en-US" w:eastAsia="lt-LT"/>
              </w:rPr>
            </w:pPr>
            <w:r>
              <w:rPr>
                <w:sz w:val="22"/>
                <w:szCs w:val="22"/>
                <w:lang w:eastAsia="lt-LT"/>
              </w:rPr>
              <w:t>2. Jei pagrįstais skaičiavimais, bandymais, stebėjimais arba būvio ciklo analize (vadovaujantis Tvarkos aprašo 2 priedo 26.2.2 papunkčiu) įrodoma, kad pakartotinio panaudojimo medžiagų arba antrinio panaudojimo medžiagų taikymas gali sukelti didesnę taršą arba sumažinti naudojimo trukmę, gali būti taikomi mažesni nei lentelėje nurodyti mažiausi medžiagų kiekiai.</w:t>
            </w:r>
          </w:p>
          <w:p>
            <w:pPr>
              <w:ind w:left="27" w:firstLine="716"/>
              <w:jc w:val="both"/>
              <w:rPr>
                <w:szCs w:val="24"/>
                <w:lang w:eastAsia="lt-LT"/>
              </w:rPr>
            </w:pPr>
            <w:r>
              <w:rPr>
                <w:sz w:val="22"/>
                <w:szCs w:val="22"/>
                <w:lang w:eastAsia="lt-LT"/>
              </w:rPr>
              <w:t>3. Dangos konstrukcijai įrengti naudotini medžiagų pavyzdžiai, pasirenkant:</w:t>
            </w:r>
          </w:p>
          <w:p>
            <w:pPr>
              <w:ind w:left="27" w:firstLine="716"/>
              <w:jc w:val="both"/>
              <w:rPr>
                <w:szCs w:val="24"/>
                <w:lang w:eastAsia="lt-LT"/>
              </w:rPr>
            </w:pPr>
            <w:r>
              <w:rPr>
                <w:sz w:val="22"/>
                <w:szCs w:val="22"/>
                <w:lang w:eastAsia="lt-LT"/>
              </w:rPr>
              <w:t>3.1. medžiagos, gautos perdirbus ar kitaip panaudojus atliekas, ir kurios atitinka Atliekų tvarkymo įstatyme ir kituose teisės aktuose nustatytus kriterijus ir sąlygas dėl atliekų nebelaikymo atliekomis: padangų gumos granulės, stiklo granulės, plastiko granulės, iš perdirbtų inertinių statybinių atliekų gaunama statyboje naudojama grūdėta medžiaga;</w:t>
            </w:r>
          </w:p>
          <w:p>
            <w:pPr>
              <w:ind w:left="27" w:firstLine="716"/>
              <w:jc w:val="both"/>
              <w:rPr>
                <w:szCs w:val="24"/>
                <w:lang w:eastAsia="lt-LT"/>
              </w:rPr>
            </w:pPr>
            <w:r>
              <w:rPr>
                <w:sz w:val="22"/>
                <w:szCs w:val="22"/>
                <w:lang w:eastAsia="lt-LT"/>
              </w:rPr>
              <w:t>3.2. atliekų deginimo įrenginiuose susidarę nepavojingieji pelenai ir šlakas, kt.;</w:t>
            </w:r>
          </w:p>
          <w:p>
            <w:pPr>
              <w:ind w:left="27" w:firstLine="716"/>
              <w:jc w:val="both"/>
              <w:rPr>
                <w:sz w:val="22"/>
                <w:szCs w:val="22"/>
                <w:lang w:eastAsia="lt-LT"/>
              </w:rPr>
            </w:pPr>
            <w:r>
              <w:rPr>
                <w:sz w:val="22"/>
                <w:szCs w:val="22"/>
                <w:lang w:eastAsia="lt-LT"/>
              </w:rPr>
              <w:t>3.3. šalutiniai gamybos produktai, atitinkantys</w:t>
            </w:r>
            <w:r>
              <w:rPr>
                <w:sz w:val="22"/>
                <w:szCs w:val="22"/>
              </w:rPr>
              <w:t xml:space="preserve"> </w:t>
            </w:r>
            <w:r>
              <w:rPr>
                <w:sz w:val="22"/>
                <w:szCs w:val="22"/>
                <w:lang w:eastAsia="lt-LT"/>
              </w:rPr>
              <w:t>Atliekų tvarkymo įstatyme ir kituose teisės aktuose nustatytus medžiagų ar daiktų priskyrimo prie šalutinių produktų sąlygas ir kriterijus: betonas, medienos plaušas, naudotas asfalto granules ir kt.;</w:t>
            </w:r>
          </w:p>
          <w:p>
            <w:pPr>
              <w:ind w:left="27" w:firstLine="716"/>
              <w:jc w:val="both"/>
              <w:rPr>
                <w:szCs w:val="24"/>
                <w:lang w:eastAsia="lt-LT"/>
              </w:rPr>
            </w:pPr>
            <w:r>
              <w:rPr>
                <w:sz w:val="22"/>
                <w:szCs w:val="22"/>
                <w:lang w:eastAsia="lt-LT"/>
              </w:rPr>
              <w:t>3.4. antrinio panaudojimo užpildus ir kelių tiesimo medžiagas (angl. </w:t>
            </w:r>
            <w:r>
              <w:rPr>
                <w:i/>
                <w:iCs/>
                <w:sz w:val="22"/>
                <w:szCs w:val="22"/>
                <w:lang w:eastAsia="lt-LT"/>
              </w:rPr>
              <w:t>recycling</w:t>
            </w:r>
            <w:r>
              <w:rPr>
                <w:sz w:val="22"/>
                <w:szCs w:val="22"/>
                <w:lang w:eastAsia="lt-LT"/>
              </w:rPr>
              <w:t>): naudoto asfalto granulės, naudoti nesurištieji mišiniai ir kt. taikant šaltojo regeneravimo, karštojo regeneravimo ir kitus technologinius būdus kitam kelio dangos konstrukcijos sluoksniui;</w:t>
            </w:r>
          </w:p>
          <w:p>
            <w:pPr>
              <w:ind w:left="27" w:firstLine="716"/>
              <w:jc w:val="both"/>
              <w:rPr>
                <w:sz w:val="22"/>
                <w:szCs w:val="22"/>
                <w:lang w:eastAsia="lt-LT"/>
              </w:rPr>
            </w:pPr>
            <w:r>
              <w:rPr>
                <w:sz w:val="22"/>
                <w:szCs w:val="22"/>
                <w:lang w:eastAsia="lt-LT"/>
              </w:rPr>
              <w:t>3.5. pakartotinio panaudojimo užpildus ir kelių tiesimo medžiagas (angl. </w:t>
            </w:r>
            <w:r>
              <w:rPr>
                <w:i/>
                <w:iCs/>
                <w:sz w:val="22"/>
                <w:szCs w:val="22"/>
                <w:lang w:eastAsia="lt-LT"/>
              </w:rPr>
              <w:t>re-use</w:t>
            </w:r>
            <w:r>
              <w:rPr>
                <w:sz w:val="22"/>
                <w:szCs w:val="22"/>
                <w:lang w:eastAsia="lt-LT"/>
              </w:rPr>
              <w:t>): naudoto asfalto granulės, naudoti nesurištieji mišiniai ir kt. taikant šaltojo regeneravimo, karštojo regeneravimo ir kitus technologinius būdus tam pačiam kelio konstrukcijos sluoksniui.</w:t>
            </w:r>
          </w:p>
          <w:p>
            <w:pPr>
              <w:ind w:left="27" w:firstLine="716"/>
              <w:jc w:val="both"/>
              <w:rPr>
                <w:sz w:val="22"/>
                <w:szCs w:val="22"/>
                <w:lang w:eastAsia="lt-LT"/>
              </w:rPr>
            </w:pPr>
            <w:r>
              <w:rPr>
                <w:sz w:val="22"/>
                <w:szCs w:val="22"/>
                <w:lang w:eastAsia="lt-LT"/>
              </w:rPr>
              <w:t xml:space="preserve">4. Pritaikius </w:t>
            </w:r>
            <w:r>
              <w:rPr>
                <w:sz w:val="22"/>
                <w:szCs w:val="22"/>
                <w:lang w:val="en-US" w:eastAsia="lt-LT"/>
              </w:rPr>
              <w:t>26.2.1.1</w:t>
            </w:r>
            <w:r>
              <w:rPr>
                <w:sz w:val="22"/>
                <w:szCs w:val="22"/>
                <w:lang w:eastAsia="lt-LT"/>
              </w:rPr>
              <w:t xml:space="preserve"> papunktyje nustatytus minimalius aplinkos apsaugos kriterijus ne mažiau kaip dviem kelio dangos konstrukcijos sluoksniams, laikytina, kad 26.2 papunktis įgyvendintas. </w:t>
            </w:r>
          </w:p>
        </w:tc>
      </w:tr>
    </w:tbl>
    <w:p>
      <w:pPr/>
    </w:p>
    <w:p>
      <w:pPr>
        <w:ind w:firstLine="851"/>
        <w:jc w:val="both"/>
        <w:rPr>
          <w:color w:val="000000"/>
          <w:szCs w:val="24"/>
          <w:lang w:eastAsia="lt-LT"/>
        </w:rPr>
      </w:pPr>
      <w:r>
        <w:rPr>
          <w:color w:val="000000"/>
          <w:szCs w:val="24"/>
          <w:lang w:eastAsia="lt-LT"/>
        </w:rPr>
        <w:t>26.2.1.2</w:t>
      </w:r>
      <w:r>
        <w:rPr>
          <w:color w:val="000000"/>
          <w:szCs w:val="24"/>
          <w:lang w:eastAsia="lt-LT"/>
        </w:rPr>
        <w:t>. turi būti panaudota ne mažiau kaip 20 proc. šiltųjų asfalto mišinių (t. y. sumažintos temperatūros karštųjų asfalto mišinių, kurių gamybos temperatūra yra ne mažiau kaip 20 °C mažesnė už karštųjų asfalto mišinių) nuo viso numatyto naudoti asfalto mišinio kiekio.</w:t>
      </w:r>
    </w:p>
    <w:p>
      <w:pPr>
        <w:ind w:firstLine="851"/>
        <w:jc w:val="both"/>
        <w:rPr>
          <w:color w:val="000000"/>
          <w:szCs w:val="24"/>
          <w:lang w:eastAsia="lt-LT"/>
        </w:rPr>
      </w:pPr>
      <w:r>
        <w:rPr>
          <w:color w:val="000000"/>
          <w:szCs w:val="24"/>
          <w:lang w:eastAsia="lt-LT"/>
        </w:rPr>
        <w:t>Atitiktį įrodantys dokumentai: gamintojo ir (ar) tiekėjo techniniai dokumentai, įrodantys, kad šiltieji asfalto mišiniai atitinka techninius reikalavimus pagal AB Lietuvos automobilių kelių direkcijos generalinio direktoriaus 2024 m. vasario 14 d. įsakymą Nr. VE-29 „Dėl Automobilių kelių asfalto mišinių techninių reikalavimų aprašo TRA ASFALTAS 24 patvirtinimo“ ir Lietuvos automobilių kelių direkcijos prie susisiekimo ministerijos direktoriaus 2012 m. gruodžio 18 d. įsakymą Nr. V-462 „Dėl Asfalto mišinių temperatūros mažinimo metodinių nurodymų MN ATM 12 patvirtinimo“;</w:t>
      </w:r>
    </w:p>
    <w:p>
      <w:pPr>
        <w:ind w:firstLine="851"/>
        <w:jc w:val="both"/>
        <w:rPr>
          <w:sz w:val="22"/>
          <w:szCs w:val="22"/>
        </w:rPr>
      </w:pPr>
      <w:r>
        <w:rPr>
          <w:color w:val="000000"/>
          <w:szCs w:val="24"/>
          <w:lang w:eastAsia="lt-LT"/>
        </w:rPr>
        <w:t>26.2.2</w:t>
      </w:r>
      <w:r>
        <w:rPr>
          <w:color w:val="000000"/>
          <w:szCs w:val="24"/>
          <w:lang w:eastAsia="lt-LT"/>
        </w:rPr>
        <w:t>. nustatyti anglies dioksido pėdsaką (CO</w:t>
      </w:r>
      <w:r>
        <w:rPr>
          <w:color w:val="000000"/>
          <w:szCs w:val="24"/>
          <w:vertAlign w:val="subscript"/>
          <w:lang w:eastAsia="lt-LT"/>
        </w:rPr>
        <w:t>2</w:t>
      </w:r>
      <w:r>
        <w:rPr>
          <w:color w:val="000000"/>
          <w:szCs w:val="24"/>
          <w:lang w:eastAsia="lt-LT"/>
        </w:rPr>
        <w:t>) arba poveikio aplinkai rodiklius (visuotinio atšilimo indeksas (GWP) ir kt.) pagal LST EN 15643 „Statinių tvarumas. Pastatų ir inžinerinių statinių vertinimo schema“ arba lygiavertį standartą, LST EN 17472 „Statinių tvarumas. Inžinerinių statinių tvarumo vertinimas. Skaičiavimo metodai“ arba lygiavertį standartą;</w:t>
      </w:r>
    </w:p>
    <w:p>
      <w:pPr>
        <w:ind w:firstLine="851"/>
        <w:jc w:val="both"/>
        <w:rPr>
          <w:szCs w:val="24"/>
        </w:rPr>
      </w:pPr>
      <w:r>
        <w:rPr>
          <w:color w:val="000000"/>
          <w:szCs w:val="24"/>
          <w:lang w:eastAsia="lt-LT"/>
        </w:rPr>
        <w:t>26.2.3</w:t>
      </w:r>
      <w:r>
        <w:rPr>
          <w:color w:val="000000"/>
          <w:szCs w:val="24"/>
          <w:lang w:eastAsia="lt-LT"/>
        </w:rPr>
        <w:t>. ne mažiau kaip pusę išlaidų statybos produktams sudaro išlaidos produktams, kurie turi aplinkosaugines produktų deklaracijas pagal LST EN 15804 „Statinių tvarumas. Aplinkosauginės produktų deklaracijos. Pagrindinės taisyklės, taikomos statybos produktų kategorijoms“ arba lygiavertį standartą ir (ar) LST EN ISO 14025:2010 „Aplinkosauginiai ženklai ir aplinkosauginės deklaracijos. III tipo aplinkosauginės deklaracijos. Principai ir procedūros“ arba lygiavertį standartą.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92cde9195f411efa605b9842742bf37">
        <w:r w:rsidRPr="00532B9F">
          <w:rPr>
            <w:rFonts w:ascii="Times New Roman" w:eastAsia="MS Mincho" w:hAnsi="Times New Roman"/>
            <w:sz w:val="20"/>
            <w:i/>
            <w:iCs/>
            <w:color w:val="0000FF" w:themeColor="hyperlink"/>
            <w:u w:val="single"/>
          </w:rPr>
          <w:t>D1-367</w:t>
        </w:r>
      </w:fldSimple>
      <w:r>
        <w:rPr>
          <w:rFonts w:ascii="Times New Roman" w:eastAsia="MS Mincho" w:hAnsi="Times New Roman"/>
          <w:sz w:val="20"/>
          <w:i/>
          <w:iCs/>
        </w:rPr>
        <w:t>,
2024-10-29,
paskelbta TAR 2024-10-29, i. k. 2024-18741            </w:t>
      </w:r>
    </w:p>
    <w:p/>
    <w:p>
      <w:pPr>
        <w:ind w:firstLine="851"/>
        <w:jc w:val="both"/>
        <w:rPr>
          <w:szCs w:val="24"/>
        </w:rPr>
      </w:pPr>
      <w:r>
        <w:rPr>
          <w:szCs w:val="24"/>
        </w:rPr>
        <w:t>27</w:t>
      </w:r>
      <w:r>
        <w:rPr>
          <w:szCs w:val="24"/>
        </w:rPr>
        <w:t>. Kelio ženklai, ženklinimas ir triukšmo užtvaros:</w:t>
      </w:r>
    </w:p>
    <w:p>
      <w:pPr>
        <w:suppressAutoHyphens/>
        <w:ind w:firstLine="851"/>
        <w:jc w:val="both"/>
        <w:rPr>
          <w:szCs w:val="24"/>
          <w:lang w:eastAsia="lt-LT"/>
        </w:rPr>
      </w:pPr>
      <w:r>
        <w:rPr>
          <w:szCs w:val="24"/>
          <w:lang w:eastAsia="lt-LT"/>
        </w:rPr>
        <w:t>27.1</w:t>
      </w:r>
      <w:r>
        <w:rPr>
          <w:szCs w:val="24"/>
          <w:lang w:eastAsia="lt-LT"/>
        </w:rPr>
        <w:t>. kelio ženklams naudojami produktai turi būti sudaryti panaudojant antrinio panaudojimo medžiagas, ir (ar) pakartotinio panaudojimo medžiagas, ir (ar) perdirbtas medžiagas,</w:t>
      </w:r>
      <w:r>
        <w:rPr>
          <w:rFonts w:eastAsia="Calibri"/>
          <w:szCs w:val="22"/>
          <w:lang w:val="en-US"/>
        </w:rPr>
        <w:t xml:space="preserve"> </w:t>
      </w:r>
      <w:r>
        <w:rPr>
          <w:szCs w:val="24"/>
          <w:lang w:eastAsia="lt-LT"/>
        </w:rPr>
        <w:t>jeigu tai neprieštaraujama galiojantiems kelio ženklams taikomiems standartams;</w:t>
      </w:r>
    </w:p>
    <w:p>
      <w:pPr>
        <w:ind w:firstLine="851"/>
        <w:jc w:val="both"/>
        <w:rPr>
          <w:szCs w:val="24"/>
          <w:lang w:eastAsia="lt-LT"/>
        </w:rPr>
      </w:pPr>
      <w:r>
        <w:rPr>
          <w:color w:val="000000"/>
          <w:szCs w:val="24"/>
          <w:lang w:eastAsia="lt-LT"/>
        </w:rPr>
        <w:t>27.2</w:t>
      </w:r>
      <w:r>
        <w:rPr>
          <w:color w:val="000000"/>
          <w:szCs w:val="24"/>
          <w:lang w:eastAsia="lt-LT"/>
        </w:rPr>
        <w:t>. keliui ženklinti naudojamų produktų ir gaminių lakieji organiniai junginiai neturi viršyti 150 g/l; stiklo granulėse ir kitose sudėtinėse medžiagose pavojingų elementų (arseno, stibio ir švino) koncentracija negali būti didesnė kaip 200 ppm, jeigu tai neprieštarauja galiojantiems kelių ženklinimui taikomiems standartams;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92cde9195f411efa605b9842742bf37">
        <w:r w:rsidRPr="00532B9F">
          <w:rPr>
            <w:rFonts w:ascii="Times New Roman" w:eastAsia="MS Mincho" w:hAnsi="Times New Roman"/>
            <w:sz w:val="20"/>
            <w:i/>
            <w:iCs/>
            <w:color w:val="0000FF" w:themeColor="hyperlink"/>
            <w:u w:val="single"/>
          </w:rPr>
          <w:t>D1-367</w:t>
        </w:r>
      </w:fldSimple>
      <w:r>
        <w:rPr>
          <w:rFonts w:ascii="Times New Roman" w:eastAsia="MS Mincho" w:hAnsi="Times New Roman"/>
          <w:sz w:val="20"/>
          <w:i/>
          <w:iCs/>
        </w:rPr>
        <w:t>,
2024-10-29,
paskelbta TAR 2024-10-29, i. k. 2024-18741            </w:t>
      </w:r>
    </w:p>
    <w:p/>
    <w:p>
      <w:pPr>
        <w:suppressAutoHyphens/>
        <w:ind w:firstLine="851"/>
        <w:jc w:val="both"/>
        <w:rPr>
          <w:szCs w:val="24"/>
          <w:lang w:eastAsia="lt-LT"/>
        </w:rPr>
      </w:pPr>
      <w:r>
        <w:rPr>
          <w:szCs w:val="24"/>
          <w:lang w:eastAsia="lt-LT"/>
        </w:rPr>
        <w:t>27.3</w:t>
      </w:r>
      <w:r>
        <w:rPr>
          <w:szCs w:val="24"/>
          <w:lang w:eastAsia="lt-LT"/>
        </w:rPr>
        <w:t>. triukšmo užtvarų sistemai įrengti naudojami produktai, medžiagos ir gaminiai turi būti pagaminti panaudojant antrinio panaudojimo medžiagas ir (ar) pakartotinio panaudojimo medžiagas, ir (ar) perdirbtas medžiagas,</w:t>
      </w:r>
      <w:r>
        <w:rPr>
          <w:rFonts w:eastAsia="Calibri"/>
          <w:szCs w:val="22"/>
          <w:lang w:val="en-US"/>
        </w:rPr>
        <w:t xml:space="preserve"> </w:t>
      </w:r>
      <w:r>
        <w:rPr>
          <w:szCs w:val="24"/>
          <w:lang w:eastAsia="lt-LT"/>
        </w:rPr>
        <w:t>jeigu tai neprieštaraujama galiojantiems triukšmo užtvaroms taikomiems standartams.</w:t>
      </w:r>
    </w:p>
    <w:p>
      <w:pPr>
        <w:suppressAutoHyphens/>
        <w:ind w:firstLine="851"/>
        <w:jc w:val="both"/>
        <w:rPr>
          <w:szCs w:val="24"/>
          <w:lang w:eastAsia="lt-LT"/>
        </w:rPr>
      </w:pPr>
    </w:p>
    <w:p>
      <w:pPr>
        <w:suppressAutoHyphens/>
        <w:ind w:firstLine="851"/>
        <w:jc w:val="both"/>
        <w:rPr>
          <w:szCs w:val="24"/>
          <w:lang w:eastAsia="lt-LT"/>
        </w:rPr>
      </w:pPr>
      <w:r>
        <w:rPr>
          <w:szCs w:val="24"/>
          <w:lang w:eastAsia="lt-LT"/>
        </w:rPr>
        <w:t>28</w:t>
      </w:r>
      <w:r>
        <w:rPr>
          <w:szCs w:val="24"/>
          <w:lang w:eastAsia="lt-LT"/>
        </w:rPr>
        <w:t>. Gatvių apšvietimo įranga:</w:t>
      </w:r>
    </w:p>
    <w:p>
      <w:pPr>
        <w:suppressAutoHyphens/>
        <w:ind w:firstLine="851"/>
        <w:jc w:val="both"/>
        <w:rPr>
          <w:szCs w:val="24"/>
          <w:lang w:eastAsia="lt-LT"/>
        </w:rPr>
      </w:pPr>
      <w:r>
        <w:rPr>
          <w:szCs w:val="24"/>
          <w:lang w:eastAsia="lt-LT"/>
        </w:rPr>
        <w:t>28.1</w:t>
      </w:r>
      <w:r>
        <w:rPr>
          <w:szCs w:val="24"/>
          <w:lang w:eastAsia="lt-LT"/>
        </w:rPr>
        <w:t xml:space="preserve">. jeigu perkama LED (angl. </w:t>
      </w:r>
      <w:r>
        <w:rPr>
          <w:i/>
          <w:iCs/>
          <w:szCs w:val="24"/>
          <w:lang w:eastAsia="lt-LT"/>
        </w:rPr>
        <w:t>Light Emitting Diode</w:t>
      </w:r>
      <w:r>
        <w:rPr>
          <w:szCs w:val="24"/>
          <w:lang w:eastAsia="lt-LT"/>
        </w:rPr>
        <w:t xml:space="preserve"> – šviesą skleidžiantis diodas) gatvių apšvietimo įranga, ji turi būti 100 proc. (vienetais) LED;</w:t>
      </w:r>
    </w:p>
    <w:p>
      <w:pPr>
        <w:suppressAutoHyphens/>
        <w:ind w:firstLine="851"/>
        <w:jc w:val="both"/>
        <w:rPr>
          <w:szCs w:val="24"/>
          <w:lang w:eastAsia="lt-LT"/>
        </w:rPr>
      </w:pPr>
      <w:r>
        <w:rPr>
          <w:szCs w:val="24"/>
          <w:lang w:eastAsia="lt-LT"/>
        </w:rPr>
        <w:t>28.2</w:t>
      </w:r>
      <w:r>
        <w:rPr>
          <w:szCs w:val="24"/>
          <w:lang w:eastAsia="lt-LT"/>
        </w:rPr>
        <w:t>. jeigu perkama ne LED gatvių apšvietimo įranga, ji turi būti:</w:t>
      </w:r>
    </w:p>
    <w:p>
      <w:pPr>
        <w:suppressAutoHyphens/>
        <w:ind w:firstLine="851"/>
        <w:jc w:val="both"/>
        <w:rPr>
          <w:szCs w:val="24"/>
          <w:lang w:eastAsia="lt-LT"/>
        </w:rPr>
      </w:pPr>
      <w:r>
        <w:rPr>
          <w:szCs w:val="24"/>
          <w:lang w:eastAsia="lt-LT"/>
        </w:rPr>
        <w:t>28.2.1</w:t>
      </w:r>
      <w:r>
        <w:rPr>
          <w:szCs w:val="24"/>
          <w:lang w:eastAsia="lt-LT"/>
        </w:rPr>
        <w:t>. aukšto slėgio natrio lempų, kurių spalvų perteikimo indeksas Ra &lt; 60, vardinis šviesinis veiksmingumas turi atitikti:</w:t>
      </w:r>
    </w:p>
    <w:tbl>
      <w:tblPr>
        <w:tblW w:w="895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2977"/>
        <w:gridCol w:w="3147"/>
      </w:tblGrid>
      <w:tr>
        <w:tc>
          <w:tcPr>
            <w:tcW w:w="709" w:type="dxa"/>
          </w:tcPr>
          <w:p>
            <w:pPr>
              <w:suppressAutoHyphens/>
              <w:jc w:val="center"/>
              <w:rPr>
                <w:sz w:val="22"/>
                <w:szCs w:val="22"/>
                <w:lang w:eastAsia="lt-LT"/>
              </w:rPr>
            </w:pPr>
            <w:r>
              <w:rPr>
                <w:sz w:val="22"/>
                <w:szCs w:val="22"/>
                <w:lang w:eastAsia="lt-LT"/>
              </w:rPr>
              <w:t xml:space="preserve">Eil. </w:t>
            </w:r>
          </w:p>
          <w:p>
            <w:pPr>
              <w:suppressAutoHyphens/>
              <w:jc w:val="center"/>
              <w:rPr>
                <w:sz w:val="22"/>
                <w:szCs w:val="22"/>
                <w:lang w:eastAsia="lt-LT"/>
              </w:rPr>
            </w:pPr>
            <w:r>
              <w:rPr>
                <w:sz w:val="22"/>
                <w:szCs w:val="22"/>
                <w:lang w:eastAsia="lt-LT"/>
              </w:rPr>
              <w:t>Nr.</w:t>
            </w:r>
          </w:p>
        </w:tc>
        <w:tc>
          <w:tcPr>
            <w:tcW w:w="2126" w:type="dxa"/>
          </w:tcPr>
          <w:p>
            <w:pPr>
              <w:suppressAutoHyphens/>
              <w:jc w:val="center"/>
              <w:rPr>
                <w:sz w:val="22"/>
                <w:szCs w:val="22"/>
                <w:lang w:eastAsia="lt-LT"/>
              </w:rPr>
            </w:pPr>
            <w:r>
              <w:rPr>
                <w:sz w:val="22"/>
                <w:szCs w:val="22"/>
                <w:lang w:eastAsia="lt-LT"/>
              </w:rPr>
              <w:t>Nominalioji lempos galia, W</w:t>
            </w:r>
          </w:p>
        </w:tc>
        <w:tc>
          <w:tcPr>
            <w:tcW w:w="2977" w:type="dxa"/>
          </w:tcPr>
          <w:p>
            <w:pPr>
              <w:suppressAutoHyphens/>
              <w:jc w:val="center"/>
              <w:rPr>
                <w:sz w:val="22"/>
                <w:szCs w:val="22"/>
                <w:lang w:eastAsia="lt-LT"/>
              </w:rPr>
            </w:pPr>
            <w:r>
              <w:rPr>
                <w:sz w:val="22"/>
                <w:szCs w:val="22"/>
                <w:lang w:eastAsia="lt-LT"/>
              </w:rPr>
              <w:t>Vardinis lempos veiksmingumas, lm/W,</w:t>
            </w:r>
          </w:p>
          <w:p>
            <w:pPr>
              <w:suppressAutoHyphens/>
              <w:jc w:val="center"/>
              <w:rPr>
                <w:sz w:val="22"/>
                <w:szCs w:val="22"/>
                <w:lang w:eastAsia="lt-LT"/>
              </w:rPr>
            </w:pPr>
            <w:r>
              <w:rPr>
                <w:sz w:val="22"/>
                <w:szCs w:val="22"/>
                <w:lang w:eastAsia="lt-LT"/>
              </w:rPr>
              <w:t>skaidriosios lempos</w:t>
            </w:r>
          </w:p>
        </w:tc>
        <w:tc>
          <w:tcPr>
            <w:tcW w:w="3147" w:type="dxa"/>
          </w:tcPr>
          <w:p>
            <w:pPr>
              <w:suppressAutoHyphens/>
              <w:jc w:val="center"/>
              <w:rPr>
                <w:sz w:val="22"/>
                <w:szCs w:val="22"/>
                <w:lang w:eastAsia="lt-LT"/>
              </w:rPr>
            </w:pPr>
            <w:r>
              <w:rPr>
                <w:sz w:val="22"/>
                <w:szCs w:val="22"/>
                <w:lang w:eastAsia="lt-LT"/>
              </w:rPr>
              <w:t>Vardinis lempos veiksmingumas, lm/W,</w:t>
            </w:r>
          </w:p>
          <w:p>
            <w:pPr>
              <w:suppressAutoHyphens/>
              <w:jc w:val="center"/>
              <w:rPr>
                <w:sz w:val="22"/>
                <w:szCs w:val="22"/>
                <w:lang w:eastAsia="lt-LT"/>
              </w:rPr>
            </w:pPr>
            <w:r>
              <w:rPr>
                <w:sz w:val="22"/>
                <w:szCs w:val="22"/>
                <w:lang w:eastAsia="lt-LT"/>
              </w:rPr>
              <w:t>neskaidriosios lempos</w:t>
            </w:r>
          </w:p>
        </w:tc>
      </w:tr>
      <w:tr>
        <w:tc>
          <w:tcPr>
            <w:tcW w:w="709" w:type="dxa"/>
          </w:tcPr>
          <w:p>
            <w:pPr>
              <w:suppressAutoHyphens/>
              <w:jc w:val="center"/>
              <w:rPr>
                <w:sz w:val="22"/>
                <w:szCs w:val="22"/>
                <w:lang w:eastAsia="lt-LT"/>
              </w:rPr>
            </w:pPr>
            <w:r>
              <w:rPr>
                <w:sz w:val="22"/>
                <w:szCs w:val="22"/>
                <w:lang w:eastAsia="lt-LT"/>
              </w:rPr>
              <w:t>1.</w:t>
            </w:r>
          </w:p>
        </w:tc>
        <w:tc>
          <w:tcPr>
            <w:tcW w:w="2126" w:type="dxa"/>
          </w:tcPr>
          <w:p>
            <w:pPr>
              <w:suppressAutoHyphens/>
              <w:rPr>
                <w:sz w:val="22"/>
                <w:szCs w:val="22"/>
                <w:lang w:eastAsia="lt-LT"/>
              </w:rPr>
            </w:pPr>
            <w:r>
              <w:rPr>
                <w:sz w:val="22"/>
                <w:szCs w:val="22"/>
                <w:lang w:eastAsia="lt-LT"/>
              </w:rPr>
              <w:t>W ≤ 45</w:t>
            </w:r>
          </w:p>
        </w:tc>
        <w:tc>
          <w:tcPr>
            <w:tcW w:w="2977" w:type="dxa"/>
          </w:tcPr>
          <w:p>
            <w:pPr>
              <w:suppressAutoHyphens/>
              <w:jc w:val="center"/>
              <w:rPr>
                <w:sz w:val="22"/>
                <w:szCs w:val="22"/>
                <w:lang w:eastAsia="lt-LT"/>
              </w:rPr>
            </w:pPr>
            <w:r>
              <w:rPr>
                <w:sz w:val="22"/>
                <w:szCs w:val="22"/>
                <w:lang w:eastAsia="lt-LT"/>
              </w:rPr>
              <w:t>≥ 62</w:t>
            </w:r>
          </w:p>
        </w:tc>
        <w:tc>
          <w:tcPr>
            <w:tcW w:w="3147" w:type="dxa"/>
          </w:tcPr>
          <w:p>
            <w:pPr>
              <w:suppressAutoHyphens/>
              <w:jc w:val="center"/>
              <w:rPr>
                <w:sz w:val="22"/>
                <w:szCs w:val="22"/>
                <w:lang w:eastAsia="lt-LT"/>
              </w:rPr>
            </w:pPr>
            <w:r>
              <w:rPr>
                <w:sz w:val="22"/>
                <w:szCs w:val="22"/>
                <w:lang w:eastAsia="lt-LT"/>
              </w:rPr>
              <w:t>≥ 60</w:t>
            </w:r>
          </w:p>
        </w:tc>
      </w:tr>
      <w:tr>
        <w:tc>
          <w:tcPr>
            <w:tcW w:w="709" w:type="dxa"/>
          </w:tcPr>
          <w:p>
            <w:pPr>
              <w:suppressAutoHyphens/>
              <w:jc w:val="center"/>
              <w:rPr>
                <w:sz w:val="22"/>
                <w:szCs w:val="22"/>
                <w:lang w:eastAsia="lt-LT"/>
              </w:rPr>
            </w:pPr>
            <w:r>
              <w:rPr>
                <w:sz w:val="22"/>
                <w:szCs w:val="22"/>
                <w:lang w:eastAsia="lt-LT"/>
              </w:rPr>
              <w:t>2.</w:t>
            </w:r>
          </w:p>
        </w:tc>
        <w:tc>
          <w:tcPr>
            <w:tcW w:w="2126" w:type="dxa"/>
          </w:tcPr>
          <w:p>
            <w:pPr>
              <w:suppressAutoHyphens/>
              <w:rPr>
                <w:sz w:val="22"/>
                <w:szCs w:val="22"/>
                <w:lang w:eastAsia="lt-LT"/>
              </w:rPr>
            </w:pPr>
            <w:r>
              <w:rPr>
                <w:sz w:val="22"/>
                <w:szCs w:val="22"/>
                <w:lang w:eastAsia="lt-LT"/>
              </w:rPr>
              <w:t>45 &lt; W ≤ 55</w:t>
            </w:r>
          </w:p>
        </w:tc>
        <w:tc>
          <w:tcPr>
            <w:tcW w:w="2977" w:type="dxa"/>
          </w:tcPr>
          <w:p>
            <w:pPr>
              <w:suppressAutoHyphens/>
              <w:jc w:val="center"/>
              <w:rPr>
                <w:sz w:val="22"/>
                <w:szCs w:val="22"/>
                <w:lang w:eastAsia="lt-LT"/>
              </w:rPr>
            </w:pPr>
            <w:r>
              <w:rPr>
                <w:sz w:val="22"/>
                <w:szCs w:val="22"/>
                <w:lang w:eastAsia="lt-LT"/>
              </w:rPr>
              <w:t>≥ 80</w:t>
            </w:r>
          </w:p>
        </w:tc>
        <w:tc>
          <w:tcPr>
            <w:tcW w:w="3147" w:type="dxa"/>
          </w:tcPr>
          <w:p>
            <w:pPr>
              <w:suppressAutoHyphens/>
              <w:jc w:val="center"/>
              <w:rPr>
                <w:sz w:val="22"/>
                <w:szCs w:val="22"/>
                <w:lang w:eastAsia="lt-LT"/>
              </w:rPr>
            </w:pPr>
            <w:r>
              <w:rPr>
                <w:sz w:val="22"/>
                <w:szCs w:val="22"/>
                <w:lang w:eastAsia="lt-LT"/>
              </w:rPr>
              <w:t>≥ 70</w:t>
            </w:r>
          </w:p>
        </w:tc>
      </w:tr>
      <w:tr>
        <w:tc>
          <w:tcPr>
            <w:tcW w:w="709" w:type="dxa"/>
          </w:tcPr>
          <w:p>
            <w:pPr>
              <w:suppressAutoHyphens/>
              <w:jc w:val="center"/>
              <w:rPr>
                <w:sz w:val="22"/>
                <w:szCs w:val="22"/>
                <w:lang w:eastAsia="lt-LT"/>
              </w:rPr>
            </w:pPr>
            <w:r>
              <w:rPr>
                <w:sz w:val="22"/>
                <w:szCs w:val="22"/>
                <w:lang w:eastAsia="lt-LT"/>
              </w:rPr>
              <w:t>3.</w:t>
            </w:r>
          </w:p>
        </w:tc>
        <w:tc>
          <w:tcPr>
            <w:tcW w:w="2126" w:type="dxa"/>
          </w:tcPr>
          <w:p>
            <w:pPr>
              <w:suppressAutoHyphens/>
              <w:rPr>
                <w:sz w:val="22"/>
                <w:szCs w:val="22"/>
                <w:lang w:eastAsia="lt-LT"/>
              </w:rPr>
            </w:pPr>
            <w:r>
              <w:rPr>
                <w:sz w:val="22"/>
                <w:szCs w:val="22"/>
                <w:lang w:eastAsia="lt-LT"/>
              </w:rPr>
              <w:t>55 &lt; W ≤ 75</w:t>
            </w:r>
          </w:p>
        </w:tc>
        <w:tc>
          <w:tcPr>
            <w:tcW w:w="2977" w:type="dxa"/>
          </w:tcPr>
          <w:p>
            <w:pPr>
              <w:suppressAutoHyphens/>
              <w:jc w:val="center"/>
              <w:rPr>
                <w:sz w:val="22"/>
                <w:szCs w:val="22"/>
                <w:lang w:eastAsia="lt-LT"/>
              </w:rPr>
            </w:pPr>
            <w:r>
              <w:rPr>
                <w:sz w:val="22"/>
                <w:szCs w:val="22"/>
                <w:lang w:eastAsia="lt-LT"/>
              </w:rPr>
              <w:t>≥ 91</w:t>
            </w:r>
          </w:p>
        </w:tc>
        <w:tc>
          <w:tcPr>
            <w:tcW w:w="3147" w:type="dxa"/>
          </w:tcPr>
          <w:p>
            <w:pPr>
              <w:suppressAutoHyphens/>
              <w:jc w:val="center"/>
              <w:rPr>
                <w:sz w:val="22"/>
                <w:szCs w:val="22"/>
                <w:lang w:eastAsia="lt-LT"/>
              </w:rPr>
            </w:pPr>
            <w:r>
              <w:rPr>
                <w:sz w:val="22"/>
                <w:szCs w:val="22"/>
                <w:lang w:eastAsia="lt-LT"/>
              </w:rPr>
              <w:t>≥ 82</w:t>
            </w:r>
          </w:p>
        </w:tc>
      </w:tr>
      <w:tr>
        <w:tc>
          <w:tcPr>
            <w:tcW w:w="709" w:type="dxa"/>
          </w:tcPr>
          <w:p>
            <w:pPr>
              <w:suppressAutoHyphens/>
              <w:jc w:val="center"/>
              <w:rPr>
                <w:sz w:val="22"/>
                <w:szCs w:val="22"/>
                <w:lang w:eastAsia="lt-LT"/>
              </w:rPr>
            </w:pPr>
            <w:r>
              <w:rPr>
                <w:sz w:val="22"/>
                <w:szCs w:val="22"/>
                <w:lang w:eastAsia="lt-LT"/>
              </w:rPr>
              <w:t>4.</w:t>
            </w:r>
          </w:p>
        </w:tc>
        <w:tc>
          <w:tcPr>
            <w:tcW w:w="2126" w:type="dxa"/>
          </w:tcPr>
          <w:p>
            <w:pPr>
              <w:suppressAutoHyphens/>
              <w:rPr>
                <w:sz w:val="22"/>
                <w:szCs w:val="22"/>
                <w:lang w:eastAsia="lt-LT"/>
              </w:rPr>
            </w:pPr>
            <w:r>
              <w:rPr>
                <w:sz w:val="22"/>
                <w:szCs w:val="22"/>
                <w:lang w:eastAsia="lt-LT"/>
              </w:rPr>
              <w:t>75 &lt; W ≤ 105</w:t>
            </w:r>
          </w:p>
        </w:tc>
        <w:tc>
          <w:tcPr>
            <w:tcW w:w="2977" w:type="dxa"/>
          </w:tcPr>
          <w:p>
            <w:pPr>
              <w:suppressAutoHyphens/>
              <w:jc w:val="center"/>
              <w:rPr>
                <w:sz w:val="22"/>
                <w:szCs w:val="22"/>
                <w:lang w:eastAsia="lt-LT"/>
              </w:rPr>
            </w:pPr>
            <w:r>
              <w:rPr>
                <w:sz w:val="22"/>
                <w:szCs w:val="22"/>
                <w:lang w:eastAsia="lt-LT"/>
              </w:rPr>
              <w:t>≥ 105</w:t>
            </w:r>
          </w:p>
        </w:tc>
        <w:tc>
          <w:tcPr>
            <w:tcW w:w="3147" w:type="dxa"/>
          </w:tcPr>
          <w:p>
            <w:pPr>
              <w:suppressAutoHyphens/>
              <w:jc w:val="center"/>
              <w:rPr>
                <w:sz w:val="22"/>
                <w:szCs w:val="22"/>
                <w:lang w:eastAsia="lt-LT"/>
              </w:rPr>
            </w:pPr>
            <w:r>
              <w:rPr>
                <w:sz w:val="22"/>
                <w:szCs w:val="22"/>
                <w:lang w:eastAsia="lt-LT"/>
              </w:rPr>
              <w:t>≥ 95</w:t>
            </w:r>
          </w:p>
        </w:tc>
      </w:tr>
      <w:tr>
        <w:tc>
          <w:tcPr>
            <w:tcW w:w="709" w:type="dxa"/>
          </w:tcPr>
          <w:p>
            <w:pPr>
              <w:suppressAutoHyphens/>
              <w:jc w:val="center"/>
              <w:rPr>
                <w:sz w:val="22"/>
                <w:szCs w:val="22"/>
                <w:lang w:eastAsia="lt-LT"/>
              </w:rPr>
            </w:pPr>
            <w:r>
              <w:rPr>
                <w:sz w:val="22"/>
                <w:szCs w:val="22"/>
                <w:lang w:eastAsia="lt-LT"/>
              </w:rPr>
              <w:t>5.</w:t>
            </w:r>
          </w:p>
        </w:tc>
        <w:tc>
          <w:tcPr>
            <w:tcW w:w="2126" w:type="dxa"/>
          </w:tcPr>
          <w:p>
            <w:pPr>
              <w:suppressAutoHyphens/>
              <w:rPr>
                <w:sz w:val="22"/>
                <w:szCs w:val="22"/>
                <w:lang w:eastAsia="lt-LT"/>
              </w:rPr>
            </w:pPr>
            <w:r>
              <w:rPr>
                <w:sz w:val="22"/>
                <w:szCs w:val="22"/>
                <w:lang w:eastAsia="lt-LT"/>
              </w:rPr>
              <w:t>105 &lt; W ≤ 155</w:t>
            </w:r>
          </w:p>
        </w:tc>
        <w:tc>
          <w:tcPr>
            <w:tcW w:w="2977" w:type="dxa"/>
          </w:tcPr>
          <w:p>
            <w:pPr>
              <w:suppressAutoHyphens/>
              <w:jc w:val="center"/>
              <w:rPr>
                <w:sz w:val="22"/>
                <w:szCs w:val="22"/>
                <w:lang w:eastAsia="lt-LT"/>
              </w:rPr>
            </w:pPr>
            <w:r>
              <w:rPr>
                <w:sz w:val="22"/>
                <w:szCs w:val="22"/>
                <w:lang w:eastAsia="lt-LT"/>
              </w:rPr>
              <w:t>≥ 114</w:t>
            </w:r>
          </w:p>
        </w:tc>
        <w:tc>
          <w:tcPr>
            <w:tcW w:w="3147" w:type="dxa"/>
          </w:tcPr>
          <w:p>
            <w:pPr>
              <w:suppressAutoHyphens/>
              <w:jc w:val="center"/>
              <w:rPr>
                <w:sz w:val="22"/>
                <w:szCs w:val="22"/>
                <w:lang w:eastAsia="lt-LT"/>
              </w:rPr>
            </w:pPr>
            <w:r>
              <w:rPr>
                <w:sz w:val="22"/>
                <w:szCs w:val="22"/>
                <w:lang w:eastAsia="lt-LT"/>
              </w:rPr>
              <w:t>≥ 107</w:t>
            </w:r>
          </w:p>
        </w:tc>
      </w:tr>
      <w:tr>
        <w:tc>
          <w:tcPr>
            <w:tcW w:w="709" w:type="dxa"/>
          </w:tcPr>
          <w:p>
            <w:pPr>
              <w:suppressAutoHyphens/>
              <w:jc w:val="center"/>
              <w:rPr>
                <w:sz w:val="22"/>
                <w:szCs w:val="22"/>
                <w:lang w:eastAsia="lt-LT"/>
              </w:rPr>
            </w:pPr>
            <w:r>
              <w:rPr>
                <w:sz w:val="22"/>
                <w:szCs w:val="22"/>
                <w:lang w:eastAsia="lt-LT"/>
              </w:rPr>
              <w:t>6.</w:t>
            </w:r>
          </w:p>
        </w:tc>
        <w:tc>
          <w:tcPr>
            <w:tcW w:w="2126" w:type="dxa"/>
          </w:tcPr>
          <w:p>
            <w:pPr>
              <w:suppressAutoHyphens/>
              <w:rPr>
                <w:sz w:val="22"/>
                <w:szCs w:val="22"/>
                <w:lang w:eastAsia="lt-LT"/>
              </w:rPr>
            </w:pPr>
            <w:r>
              <w:rPr>
                <w:sz w:val="22"/>
                <w:szCs w:val="22"/>
                <w:lang w:eastAsia="lt-LT"/>
              </w:rPr>
              <w:t>155 &lt; W ≤ 255</w:t>
            </w:r>
          </w:p>
        </w:tc>
        <w:tc>
          <w:tcPr>
            <w:tcW w:w="2977" w:type="dxa"/>
          </w:tcPr>
          <w:p>
            <w:pPr>
              <w:suppressAutoHyphens/>
              <w:jc w:val="center"/>
              <w:rPr>
                <w:sz w:val="22"/>
                <w:szCs w:val="22"/>
                <w:lang w:eastAsia="lt-LT"/>
              </w:rPr>
            </w:pPr>
            <w:r>
              <w:rPr>
                <w:sz w:val="22"/>
                <w:szCs w:val="22"/>
                <w:lang w:eastAsia="lt-LT"/>
              </w:rPr>
              <w:t>≥ 125</w:t>
            </w:r>
          </w:p>
        </w:tc>
        <w:tc>
          <w:tcPr>
            <w:tcW w:w="3147" w:type="dxa"/>
          </w:tcPr>
          <w:p>
            <w:pPr>
              <w:suppressAutoHyphens/>
              <w:jc w:val="center"/>
              <w:rPr>
                <w:sz w:val="22"/>
                <w:szCs w:val="22"/>
                <w:lang w:eastAsia="lt-LT"/>
              </w:rPr>
            </w:pPr>
            <w:r>
              <w:rPr>
                <w:sz w:val="22"/>
                <w:szCs w:val="22"/>
                <w:lang w:eastAsia="lt-LT"/>
              </w:rPr>
              <w:t>≥ 120</w:t>
            </w:r>
          </w:p>
        </w:tc>
      </w:tr>
      <w:tr>
        <w:tc>
          <w:tcPr>
            <w:tcW w:w="709" w:type="dxa"/>
          </w:tcPr>
          <w:p>
            <w:pPr>
              <w:suppressAutoHyphens/>
              <w:jc w:val="center"/>
              <w:rPr>
                <w:sz w:val="22"/>
                <w:szCs w:val="22"/>
                <w:lang w:eastAsia="lt-LT"/>
              </w:rPr>
            </w:pPr>
            <w:r>
              <w:rPr>
                <w:sz w:val="22"/>
                <w:szCs w:val="22"/>
                <w:lang w:eastAsia="lt-LT"/>
              </w:rPr>
              <w:t>7.</w:t>
            </w:r>
          </w:p>
        </w:tc>
        <w:tc>
          <w:tcPr>
            <w:tcW w:w="2126" w:type="dxa"/>
          </w:tcPr>
          <w:p>
            <w:pPr>
              <w:suppressAutoHyphens/>
              <w:rPr>
                <w:sz w:val="22"/>
                <w:szCs w:val="22"/>
                <w:lang w:eastAsia="lt-LT"/>
              </w:rPr>
            </w:pPr>
            <w:r>
              <w:rPr>
                <w:sz w:val="22"/>
                <w:szCs w:val="22"/>
                <w:lang w:eastAsia="lt-LT"/>
              </w:rPr>
              <w:t xml:space="preserve">255 &lt; W </w:t>
            </w:r>
          </w:p>
        </w:tc>
        <w:tc>
          <w:tcPr>
            <w:tcW w:w="2977" w:type="dxa"/>
          </w:tcPr>
          <w:p>
            <w:pPr>
              <w:suppressAutoHyphens/>
              <w:jc w:val="center"/>
              <w:rPr>
                <w:sz w:val="22"/>
                <w:szCs w:val="22"/>
                <w:lang w:eastAsia="lt-LT"/>
              </w:rPr>
            </w:pPr>
            <w:r>
              <w:rPr>
                <w:sz w:val="22"/>
                <w:szCs w:val="22"/>
                <w:lang w:eastAsia="lt-LT"/>
              </w:rPr>
              <w:t>≥ 138</w:t>
            </w:r>
          </w:p>
        </w:tc>
        <w:tc>
          <w:tcPr>
            <w:tcW w:w="3147" w:type="dxa"/>
          </w:tcPr>
          <w:p>
            <w:pPr>
              <w:suppressAutoHyphens/>
              <w:jc w:val="center"/>
              <w:rPr>
                <w:sz w:val="22"/>
                <w:szCs w:val="22"/>
                <w:lang w:eastAsia="lt-LT"/>
              </w:rPr>
            </w:pPr>
            <w:r>
              <w:rPr>
                <w:sz w:val="22"/>
                <w:szCs w:val="22"/>
                <w:lang w:eastAsia="lt-LT"/>
              </w:rPr>
              <w:t>≥ 133</w:t>
            </w:r>
          </w:p>
        </w:tc>
      </w:tr>
    </w:tbl>
    <w:p>
      <w:pPr>
        <w:tabs>
          <w:tab w:val="left" w:pos="1418"/>
          <w:tab w:val="left" w:pos="1701"/>
        </w:tabs>
        <w:suppressAutoHyphens/>
        <w:ind w:firstLine="850"/>
        <w:jc w:val="both"/>
        <w:rPr>
          <w:lang w:eastAsia="lt-LT"/>
        </w:rPr>
      </w:pPr>
    </w:p>
    <w:p>
      <w:pPr>
        <w:tabs>
          <w:tab w:val="left" w:pos="1418"/>
          <w:tab w:val="left" w:pos="1701"/>
        </w:tabs>
        <w:suppressAutoHyphens/>
        <w:ind w:firstLine="850"/>
        <w:jc w:val="both"/>
        <w:rPr>
          <w:lang w:eastAsia="lt-LT"/>
        </w:rPr>
      </w:pPr>
      <w:r>
        <w:rPr>
          <w:lang w:eastAsia="lt-LT"/>
        </w:rPr>
        <w:t>28.2.2</w:t>
      </w:r>
      <w:r>
        <w:rPr>
          <w:lang w:eastAsia="lt-LT"/>
        </w:rPr>
        <w:t>.</w:t>
        <w:tab/>
        <w:t>metalų halogenų lempų</w:t>
      </w:r>
      <w:r>
        <w:rPr>
          <w:bCs/>
          <w:lang w:eastAsia="lt-LT"/>
        </w:rPr>
        <w:t>,</w:t>
      </w:r>
      <w:r>
        <w:rPr>
          <w:b/>
          <w:bCs/>
          <w:lang w:eastAsia="lt-LT"/>
        </w:rPr>
        <w:t xml:space="preserve"> </w:t>
      </w:r>
      <w:r>
        <w:rPr>
          <w:lang w:eastAsia="lt-LT"/>
        </w:rPr>
        <w:t>kurių spalvų perteikimo indeksas Ra &lt; 80, vardinis šviesinis veiksmingumas turi atitikti:</w:t>
      </w:r>
    </w:p>
    <w:tbl>
      <w:tblPr>
        <w:tblW w:w="895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2977"/>
        <w:gridCol w:w="3147"/>
      </w:tblGrid>
      <w:tr>
        <w:tc>
          <w:tcPr>
            <w:tcW w:w="709" w:type="dxa"/>
          </w:tcPr>
          <w:p>
            <w:pPr>
              <w:suppressAutoHyphens/>
              <w:jc w:val="center"/>
              <w:rPr>
                <w:sz w:val="22"/>
                <w:szCs w:val="22"/>
                <w:lang w:eastAsia="lt-LT"/>
              </w:rPr>
            </w:pPr>
            <w:r>
              <w:rPr>
                <w:sz w:val="22"/>
                <w:szCs w:val="22"/>
                <w:lang w:eastAsia="lt-LT"/>
              </w:rPr>
              <w:t>Nr.</w:t>
            </w:r>
          </w:p>
        </w:tc>
        <w:tc>
          <w:tcPr>
            <w:tcW w:w="2126" w:type="dxa"/>
          </w:tcPr>
          <w:p>
            <w:pPr>
              <w:suppressAutoHyphens/>
              <w:jc w:val="center"/>
              <w:rPr>
                <w:sz w:val="22"/>
                <w:szCs w:val="22"/>
                <w:lang w:eastAsia="lt-LT"/>
              </w:rPr>
            </w:pPr>
            <w:r>
              <w:rPr>
                <w:sz w:val="22"/>
                <w:szCs w:val="22"/>
                <w:lang w:eastAsia="lt-LT"/>
              </w:rPr>
              <w:t>Nominalioji lempos galia, W</w:t>
            </w:r>
          </w:p>
        </w:tc>
        <w:tc>
          <w:tcPr>
            <w:tcW w:w="2977" w:type="dxa"/>
          </w:tcPr>
          <w:p>
            <w:pPr>
              <w:suppressAutoHyphens/>
              <w:jc w:val="center"/>
              <w:rPr>
                <w:sz w:val="22"/>
                <w:szCs w:val="22"/>
                <w:lang w:eastAsia="lt-LT"/>
              </w:rPr>
            </w:pPr>
            <w:r>
              <w:rPr>
                <w:sz w:val="22"/>
                <w:szCs w:val="22"/>
                <w:lang w:eastAsia="lt-LT"/>
              </w:rPr>
              <w:t>Vardinis lempos veiksmingumas, lm/W,</w:t>
            </w:r>
          </w:p>
          <w:p>
            <w:pPr>
              <w:suppressAutoHyphens/>
              <w:jc w:val="center"/>
              <w:rPr>
                <w:sz w:val="22"/>
                <w:szCs w:val="22"/>
                <w:lang w:eastAsia="lt-LT"/>
              </w:rPr>
            </w:pPr>
            <w:r>
              <w:rPr>
                <w:sz w:val="22"/>
                <w:szCs w:val="22"/>
                <w:lang w:eastAsia="lt-LT"/>
              </w:rPr>
              <w:t>skaidriosios lempos</w:t>
            </w:r>
          </w:p>
        </w:tc>
        <w:tc>
          <w:tcPr>
            <w:tcW w:w="3147" w:type="dxa"/>
          </w:tcPr>
          <w:p>
            <w:pPr>
              <w:suppressAutoHyphens/>
              <w:jc w:val="center"/>
              <w:rPr>
                <w:sz w:val="22"/>
                <w:szCs w:val="22"/>
                <w:lang w:eastAsia="lt-LT"/>
              </w:rPr>
            </w:pPr>
            <w:r>
              <w:rPr>
                <w:sz w:val="22"/>
                <w:szCs w:val="22"/>
                <w:lang w:eastAsia="lt-LT"/>
              </w:rPr>
              <w:t>Vardinis lempos veiksmingumas, lm/W,</w:t>
            </w:r>
          </w:p>
          <w:p>
            <w:pPr>
              <w:suppressAutoHyphens/>
              <w:jc w:val="center"/>
              <w:rPr>
                <w:sz w:val="22"/>
                <w:szCs w:val="22"/>
                <w:lang w:eastAsia="lt-LT"/>
              </w:rPr>
            </w:pPr>
            <w:r>
              <w:rPr>
                <w:sz w:val="22"/>
                <w:szCs w:val="22"/>
                <w:lang w:eastAsia="lt-LT"/>
              </w:rPr>
              <w:t>neskaidriosios lempos</w:t>
            </w:r>
          </w:p>
        </w:tc>
      </w:tr>
      <w:tr>
        <w:tc>
          <w:tcPr>
            <w:tcW w:w="709" w:type="dxa"/>
          </w:tcPr>
          <w:p>
            <w:pPr>
              <w:suppressAutoHyphens/>
              <w:jc w:val="center"/>
              <w:rPr>
                <w:sz w:val="22"/>
                <w:szCs w:val="22"/>
                <w:lang w:eastAsia="lt-LT"/>
              </w:rPr>
            </w:pPr>
            <w:r>
              <w:rPr>
                <w:sz w:val="22"/>
                <w:szCs w:val="22"/>
                <w:lang w:eastAsia="lt-LT"/>
              </w:rPr>
              <w:t>1.</w:t>
            </w:r>
          </w:p>
        </w:tc>
        <w:tc>
          <w:tcPr>
            <w:tcW w:w="2126" w:type="dxa"/>
          </w:tcPr>
          <w:p>
            <w:pPr>
              <w:suppressAutoHyphens/>
              <w:rPr>
                <w:sz w:val="22"/>
                <w:szCs w:val="22"/>
                <w:lang w:eastAsia="lt-LT"/>
              </w:rPr>
            </w:pPr>
            <w:r>
              <w:rPr>
                <w:sz w:val="22"/>
                <w:szCs w:val="22"/>
                <w:lang w:eastAsia="lt-LT"/>
              </w:rPr>
              <w:t>W ≤ 55</w:t>
            </w:r>
          </w:p>
        </w:tc>
        <w:tc>
          <w:tcPr>
            <w:tcW w:w="2977" w:type="dxa"/>
          </w:tcPr>
          <w:p>
            <w:pPr>
              <w:suppressAutoHyphens/>
              <w:jc w:val="center"/>
              <w:rPr>
                <w:sz w:val="22"/>
                <w:szCs w:val="22"/>
                <w:lang w:eastAsia="lt-LT"/>
              </w:rPr>
            </w:pPr>
            <w:r>
              <w:rPr>
                <w:sz w:val="22"/>
                <w:szCs w:val="22"/>
                <w:lang w:eastAsia="lt-LT"/>
              </w:rPr>
              <w:t>≥ 85</w:t>
            </w:r>
          </w:p>
        </w:tc>
        <w:tc>
          <w:tcPr>
            <w:tcW w:w="3147" w:type="dxa"/>
          </w:tcPr>
          <w:p>
            <w:pPr>
              <w:suppressAutoHyphens/>
              <w:jc w:val="center"/>
              <w:rPr>
                <w:sz w:val="22"/>
                <w:szCs w:val="22"/>
                <w:lang w:eastAsia="lt-LT"/>
              </w:rPr>
            </w:pPr>
            <w:r>
              <w:rPr>
                <w:sz w:val="22"/>
                <w:szCs w:val="22"/>
                <w:lang w:eastAsia="lt-LT"/>
              </w:rPr>
              <w:t>≥ 80</w:t>
            </w:r>
          </w:p>
        </w:tc>
      </w:tr>
      <w:tr>
        <w:tc>
          <w:tcPr>
            <w:tcW w:w="709" w:type="dxa"/>
          </w:tcPr>
          <w:p>
            <w:pPr>
              <w:suppressAutoHyphens/>
              <w:jc w:val="center"/>
              <w:rPr>
                <w:sz w:val="22"/>
                <w:szCs w:val="22"/>
                <w:lang w:eastAsia="lt-LT"/>
              </w:rPr>
            </w:pPr>
            <w:r>
              <w:rPr>
                <w:sz w:val="22"/>
                <w:szCs w:val="22"/>
                <w:lang w:eastAsia="lt-LT"/>
              </w:rPr>
              <w:t>2.</w:t>
            </w:r>
          </w:p>
        </w:tc>
        <w:tc>
          <w:tcPr>
            <w:tcW w:w="2126" w:type="dxa"/>
          </w:tcPr>
          <w:p>
            <w:pPr>
              <w:suppressAutoHyphens/>
              <w:rPr>
                <w:sz w:val="22"/>
                <w:szCs w:val="22"/>
                <w:lang w:eastAsia="lt-LT"/>
              </w:rPr>
            </w:pPr>
            <w:r>
              <w:rPr>
                <w:sz w:val="22"/>
                <w:szCs w:val="22"/>
                <w:lang w:eastAsia="lt-LT"/>
              </w:rPr>
              <w:t>55 &lt; W ≤ 75</w:t>
            </w:r>
          </w:p>
        </w:tc>
        <w:tc>
          <w:tcPr>
            <w:tcW w:w="2977" w:type="dxa"/>
          </w:tcPr>
          <w:p>
            <w:pPr>
              <w:suppressAutoHyphens/>
              <w:jc w:val="center"/>
              <w:rPr>
                <w:sz w:val="22"/>
                <w:szCs w:val="22"/>
                <w:lang w:eastAsia="lt-LT"/>
              </w:rPr>
            </w:pPr>
            <w:r>
              <w:rPr>
                <w:sz w:val="22"/>
                <w:szCs w:val="22"/>
                <w:lang w:eastAsia="lt-LT"/>
              </w:rPr>
              <w:t>≥ 100</w:t>
            </w:r>
          </w:p>
        </w:tc>
        <w:tc>
          <w:tcPr>
            <w:tcW w:w="3147" w:type="dxa"/>
          </w:tcPr>
          <w:p>
            <w:pPr>
              <w:suppressAutoHyphens/>
              <w:jc w:val="center"/>
              <w:rPr>
                <w:sz w:val="22"/>
                <w:szCs w:val="22"/>
                <w:lang w:eastAsia="lt-LT"/>
              </w:rPr>
            </w:pPr>
            <w:r>
              <w:rPr>
                <w:sz w:val="22"/>
                <w:szCs w:val="22"/>
                <w:lang w:eastAsia="lt-LT"/>
              </w:rPr>
              <w:t>≥ 85</w:t>
            </w:r>
          </w:p>
        </w:tc>
      </w:tr>
      <w:tr>
        <w:tc>
          <w:tcPr>
            <w:tcW w:w="709" w:type="dxa"/>
          </w:tcPr>
          <w:p>
            <w:pPr>
              <w:suppressAutoHyphens/>
              <w:jc w:val="center"/>
              <w:rPr>
                <w:sz w:val="22"/>
                <w:szCs w:val="22"/>
                <w:lang w:eastAsia="lt-LT"/>
              </w:rPr>
            </w:pPr>
            <w:r>
              <w:rPr>
                <w:sz w:val="22"/>
                <w:szCs w:val="22"/>
                <w:lang w:eastAsia="lt-LT"/>
              </w:rPr>
              <w:t>3.</w:t>
            </w:r>
          </w:p>
        </w:tc>
        <w:tc>
          <w:tcPr>
            <w:tcW w:w="2126" w:type="dxa"/>
          </w:tcPr>
          <w:p>
            <w:pPr>
              <w:suppressAutoHyphens/>
              <w:rPr>
                <w:sz w:val="22"/>
                <w:szCs w:val="22"/>
                <w:lang w:eastAsia="lt-LT"/>
              </w:rPr>
            </w:pPr>
            <w:r>
              <w:rPr>
                <w:sz w:val="22"/>
                <w:szCs w:val="22"/>
                <w:lang w:eastAsia="lt-LT"/>
              </w:rPr>
              <w:t>75 &lt; W ≤ 105</w:t>
            </w:r>
          </w:p>
        </w:tc>
        <w:tc>
          <w:tcPr>
            <w:tcW w:w="2977" w:type="dxa"/>
          </w:tcPr>
          <w:p>
            <w:pPr>
              <w:suppressAutoHyphens/>
              <w:jc w:val="center"/>
              <w:rPr>
                <w:sz w:val="22"/>
                <w:szCs w:val="22"/>
                <w:lang w:eastAsia="lt-LT"/>
              </w:rPr>
            </w:pPr>
            <w:r>
              <w:rPr>
                <w:sz w:val="22"/>
                <w:szCs w:val="22"/>
                <w:lang w:eastAsia="lt-LT"/>
              </w:rPr>
              <w:t>≥ 105</w:t>
            </w:r>
          </w:p>
        </w:tc>
        <w:tc>
          <w:tcPr>
            <w:tcW w:w="3147" w:type="dxa"/>
          </w:tcPr>
          <w:p>
            <w:pPr>
              <w:suppressAutoHyphens/>
              <w:jc w:val="center"/>
              <w:rPr>
                <w:sz w:val="22"/>
                <w:szCs w:val="22"/>
                <w:lang w:eastAsia="lt-LT"/>
              </w:rPr>
            </w:pPr>
            <w:r>
              <w:rPr>
                <w:sz w:val="22"/>
                <w:szCs w:val="22"/>
                <w:lang w:eastAsia="lt-LT"/>
              </w:rPr>
              <w:t>≥ 90</w:t>
            </w:r>
          </w:p>
        </w:tc>
      </w:tr>
      <w:tr>
        <w:tc>
          <w:tcPr>
            <w:tcW w:w="709" w:type="dxa"/>
          </w:tcPr>
          <w:p>
            <w:pPr>
              <w:suppressAutoHyphens/>
              <w:jc w:val="center"/>
              <w:rPr>
                <w:sz w:val="22"/>
                <w:szCs w:val="22"/>
                <w:lang w:eastAsia="lt-LT"/>
              </w:rPr>
            </w:pPr>
            <w:r>
              <w:rPr>
                <w:sz w:val="22"/>
                <w:szCs w:val="22"/>
                <w:lang w:eastAsia="lt-LT"/>
              </w:rPr>
              <w:t>4.</w:t>
            </w:r>
          </w:p>
        </w:tc>
        <w:tc>
          <w:tcPr>
            <w:tcW w:w="2126" w:type="dxa"/>
          </w:tcPr>
          <w:p>
            <w:pPr>
              <w:suppressAutoHyphens/>
              <w:rPr>
                <w:sz w:val="22"/>
                <w:szCs w:val="22"/>
                <w:lang w:eastAsia="lt-LT"/>
              </w:rPr>
            </w:pPr>
            <w:r>
              <w:rPr>
                <w:sz w:val="22"/>
                <w:szCs w:val="22"/>
                <w:lang w:eastAsia="lt-LT"/>
              </w:rPr>
              <w:t>105 &lt; W ≤ 155</w:t>
            </w:r>
          </w:p>
        </w:tc>
        <w:tc>
          <w:tcPr>
            <w:tcW w:w="2977" w:type="dxa"/>
          </w:tcPr>
          <w:p>
            <w:pPr>
              <w:suppressAutoHyphens/>
              <w:jc w:val="center"/>
              <w:rPr>
                <w:sz w:val="22"/>
                <w:szCs w:val="22"/>
                <w:lang w:eastAsia="lt-LT"/>
              </w:rPr>
            </w:pPr>
            <w:r>
              <w:rPr>
                <w:sz w:val="22"/>
                <w:szCs w:val="22"/>
                <w:lang w:eastAsia="lt-LT"/>
              </w:rPr>
              <w:t>≥ 110</w:t>
            </w:r>
          </w:p>
        </w:tc>
        <w:tc>
          <w:tcPr>
            <w:tcW w:w="3147" w:type="dxa"/>
          </w:tcPr>
          <w:p>
            <w:pPr>
              <w:suppressAutoHyphens/>
              <w:jc w:val="center"/>
              <w:rPr>
                <w:sz w:val="22"/>
                <w:szCs w:val="22"/>
                <w:lang w:eastAsia="lt-LT"/>
              </w:rPr>
            </w:pPr>
            <w:r>
              <w:rPr>
                <w:sz w:val="22"/>
                <w:szCs w:val="22"/>
                <w:lang w:eastAsia="lt-LT"/>
              </w:rPr>
              <w:t>≥ 95</w:t>
            </w:r>
          </w:p>
        </w:tc>
      </w:tr>
      <w:tr>
        <w:tc>
          <w:tcPr>
            <w:tcW w:w="709" w:type="dxa"/>
          </w:tcPr>
          <w:p>
            <w:pPr>
              <w:suppressAutoHyphens/>
              <w:jc w:val="center"/>
              <w:rPr>
                <w:sz w:val="22"/>
                <w:szCs w:val="22"/>
                <w:lang w:eastAsia="lt-LT"/>
              </w:rPr>
            </w:pPr>
            <w:r>
              <w:rPr>
                <w:sz w:val="22"/>
                <w:szCs w:val="22"/>
                <w:lang w:eastAsia="lt-LT"/>
              </w:rPr>
              <w:t>5.</w:t>
            </w:r>
          </w:p>
        </w:tc>
        <w:tc>
          <w:tcPr>
            <w:tcW w:w="2126" w:type="dxa"/>
          </w:tcPr>
          <w:p>
            <w:pPr>
              <w:suppressAutoHyphens/>
              <w:rPr>
                <w:sz w:val="22"/>
                <w:szCs w:val="22"/>
                <w:lang w:eastAsia="lt-LT"/>
              </w:rPr>
            </w:pPr>
            <w:r>
              <w:rPr>
                <w:sz w:val="22"/>
                <w:szCs w:val="22"/>
                <w:lang w:eastAsia="lt-LT"/>
              </w:rPr>
              <w:t>155 &lt; W ≤ 255</w:t>
            </w:r>
          </w:p>
        </w:tc>
        <w:tc>
          <w:tcPr>
            <w:tcW w:w="2977" w:type="dxa"/>
          </w:tcPr>
          <w:p>
            <w:pPr>
              <w:suppressAutoHyphens/>
              <w:jc w:val="center"/>
              <w:rPr>
                <w:sz w:val="22"/>
                <w:szCs w:val="22"/>
                <w:lang w:eastAsia="lt-LT"/>
              </w:rPr>
            </w:pPr>
            <w:r>
              <w:rPr>
                <w:sz w:val="22"/>
                <w:szCs w:val="22"/>
                <w:lang w:eastAsia="lt-LT"/>
              </w:rPr>
              <w:t>≥ 100</w:t>
            </w:r>
          </w:p>
        </w:tc>
        <w:tc>
          <w:tcPr>
            <w:tcW w:w="3147" w:type="dxa"/>
          </w:tcPr>
          <w:p>
            <w:pPr>
              <w:suppressAutoHyphens/>
              <w:jc w:val="center"/>
              <w:rPr>
                <w:sz w:val="22"/>
                <w:szCs w:val="22"/>
                <w:lang w:eastAsia="lt-LT"/>
              </w:rPr>
            </w:pPr>
            <w:r>
              <w:rPr>
                <w:sz w:val="22"/>
                <w:szCs w:val="22"/>
                <w:lang w:eastAsia="lt-LT"/>
              </w:rPr>
              <w:t>≥ 92</w:t>
            </w:r>
          </w:p>
        </w:tc>
      </w:tr>
      <w:tr>
        <w:tc>
          <w:tcPr>
            <w:tcW w:w="709" w:type="dxa"/>
          </w:tcPr>
          <w:p>
            <w:pPr>
              <w:suppressAutoHyphens/>
              <w:jc w:val="center"/>
              <w:rPr>
                <w:sz w:val="22"/>
                <w:szCs w:val="22"/>
                <w:lang w:eastAsia="lt-LT"/>
              </w:rPr>
            </w:pPr>
            <w:r>
              <w:rPr>
                <w:sz w:val="22"/>
                <w:szCs w:val="22"/>
                <w:lang w:eastAsia="lt-LT"/>
              </w:rPr>
              <w:t>6.</w:t>
            </w:r>
          </w:p>
        </w:tc>
        <w:tc>
          <w:tcPr>
            <w:tcW w:w="2126" w:type="dxa"/>
          </w:tcPr>
          <w:p>
            <w:pPr>
              <w:suppressAutoHyphens/>
              <w:rPr>
                <w:sz w:val="22"/>
                <w:szCs w:val="22"/>
                <w:lang w:eastAsia="lt-LT"/>
              </w:rPr>
            </w:pPr>
            <w:r>
              <w:rPr>
                <w:sz w:val="22"/>
                <w:szCs w:val="22"/>
                <w:lang w:eastAsia="lt-LT"/>
              </w:rPr>
              <w:t xml:space="preserve">255 &lt; W </w:t>
            </w:r>
          </w:p>
        </w:tc>
        <w:tc>
          <w:tcPr>
            <w:tcW w:w="2977" w:type="dxa"/>
          </w:tcPr>
          <w:p>
            <w:pPr>
              <w:suppressAutoHyphens/>
              <w:jc w:val="center"/>
              <w:rPr>
                <w:sz w:val="22"/>
                <w:szCs w:val="22"/>
                <w:lang w:eastAsia="lt-LT"/>
              </w:rPr>
            </w:pPr>
            <w:r>
              <w:rPr>
                <w:sz w:val="22"/>
                <w:szCs w:val="22"/>
                <w:lang w:eastAsia="lt-LT"/>
              </w:rPr>
              <w:t>≥ 92</w:t>
            </w:r>
          </w:p>
        </w:tc>
        <w:tc>
          <w:tcPr>
            <w:tcW w:w="3147" w:type="dxa"/>
          </w:tcPr>
          <w:p>
            <w:pPr>
              <w:suppressAutoHyphens/>
              <w:jc w:val="center"/>
              <w:rPr>
                <w:sz w:val="22"/>
                <w:szCs w:val="22"/>
                <w:lang w:eastAsia="lt-LT"/>
              </w:rPr>
            </w:pPr>
            <w:r>
              <w:rPr>
                <w:sz w:val="22"/>
                <w:szCs w:val="22"/>
                <w:lang w:eastAsia="lt-LT"/>
              </w:rPr>
              <w:t>≥ 100</w:t>
            </w:r>
          </w:p>
        </w:tc>
      </w:tr>
    </w:tbl>
    <w:p>
      <w:pPr>
        <w:suppressAutoHyphens/>
        <w:rPr>
          <w:lang w:eastAsia="lt-LT"/>
        </w:rPr>
      </w:pPr>
    </w:p>
    <w:p>
      <w:pPr>
        <w:tabs>
          <w:tab w:val="left" w:pos="567"/>
        </w:tabs>
        <w:suppressAutoHyphens/>
        <w:ind w:firstLine="851"/>
        <w:jc w:val="both"/>
        <w:rPr>
          <w:lang w:eastAsia="lt-LT"/>
        </w:rPr>
      </w:pPr>
      <w:r>
        <w:rPr>
          <w:lang w:eastAsia="lt-LT"/>
        </w:rPr>
        <w:t>28.2.3</w:t>
      </w:r>
      <w:r>
        <w:rPr>
          <w:lang w:eastAsia="lt-LT"/>
        </w:rPr>
        <w:t>. metalų halogenų lempų</w:t>
      </w:r>
      <w:r>
        <w:rPr>
          <w:bCs/>
          <w:lang w:eastAsia="lt-LT"/>
        </w:rPr>
        <w:t>,</w:t>
      </w:r>
      <w:r>
        <w:rPr>
          <w:b/>
          <w:bCs/>
          <w:lang w:eastAsia="lt-LT"/>
        </w:rPr>
        <w:t xml:space="preserve"> </w:t>
      </w:r>
      <w:r>
        <w:rPr>
          <w:lang w:eastAsia="lt-LT"/>
        </w:rPr>
        <w:t>kurių spalvų perteikimo indeksas Ra ≥ 80, vardinis šviesinis veiksmingumas turi atitikti:</w:t>
      </w:r>
    </w:p>
    <w:tbl>
      <w:tblPr>
        <w:tblW w:w="895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2977"/>
        <w:gridCol w:w="3147"/>
      </w:tblGrid>
      <w:tr>
        <w:tc>
          <w:tcPr>
            <w:tcW w:w="709" w:type="dxa"/>
          </w:tcPr>
          <w:p>
            <w:pPr>
              <w:suppressAutoHyphens/>
              <w:jc w:val="center"/>
              <w:rPr>
                <w:sz w:val="22"/>
                <w:szCs w:val="22"/>
                <w:lang w:eastAsia="lt-LT"/>
              </w:rPr>
            </w:pPr>
            <w:r>
              <w:rPr>
                <w:sz w:val="22"/>
                <w:szCs w:val="22"/>
                <w:lang w:eastAsia="lt-LT"/>
              </w:rPr>
              <w:t xml:space="preserve">Nr. </w:t>
            </w:r>
          </w:p>
        </w:tc>
        <w:tc>
          <w:tcPr>
            <w:tcW w:w="2126" w:type="dxa"/>
          </w:tcPr>
          <w:p>
            <w:pPr>
              <w:suppressAutoHyphens/>
              <w:jc w:val="center"/>
              <w:rPr>
                <w:sz w:val="22"/>
                <w:szCs w:val="22"/>
                <w:lang w:eastAsia="lt-LT"/>
              </w:rPr>
            </w:pPr>
            <w:r>
              <w:rPr>
                <w:sz w:val="22"/>
                <w:szCs w:val="22"/>
                <w:lang w:eastAsia="lt-LT"/>
              </w:rPr>
              <w:t>Nominalioji lempos galia, W</w:t>
            </w:r>
          </w:p>
        </w:tc>
        <w:tc>
          <w:tcPr>
            <w:tcW w:w="2977" w:type="dxa"/>
          </w:tcPr>
          <w:p>
            <w:pPr>
              <w:suppressAutoHyphens/>
              <w:jc w:val="center"/>
              <w:rPr>
                <w:sz w:val="22"/>
                <w:szCs w:val="22"/>
                <w:lang w:eastAsia="lt-LT"/>
              </w:rPr>
            </w:pPr>
            <w:r>
              <w:rPr>
                <w:sz w:val="22"/>
                <w:szCs w:val="22"/>
                <w:lang w:eastAsia="lt-LT"/>
              </w:rPr>
              <w:t>Vardinis lempos veiksmingumas, lm/W,</w:t>
            </w:r>
          </w:p>
          <w:p>
            <w:pPr>
              <w:suppressAutoHyphens/>
              <w:ind w:firstLine="57"/>
              <w:jc w:val="center"/>
              <w:rPr>
                <w:sz w:val="22"/>
                <w:szCs w:val="22"/>
                <w:lang w:eastAsia="lt-LT"/>
              </w:rPr>
            </w:pPr>
            <w:r>
              <w:rPr>
                <w:sz w:val="22"/>
                <w:szCs w:val="22"/>
                <w:lang w:eastAsia="lt-LT"/>
              </w:rPr>
              <w:t>skaidriosios lempos</w:t>
            </w:r>
          </w:p>
        </w:tc>
        <w:tc>
          <w:tcPr>
            <w:tcW w:w="3147" w:type="dxa"/>
          </w:tcPr>
          <w:p>
            <w:pPr>
              <w:suppressAutoHyphens/>
              <w:jc w:val="center"/>
              <w:rPr>
                <w:sz w:val="22"/>
                <w:szCs w:val="22"/>
                <w:lang w:eastAsia="lt-LT"/>
              </w:rPr>
            </w:pPr>
            <w:r>
              <w:rPr>
                <w:sz w:val="22"/>
                <w:szCs w:val="22"/>
                <w:lang w:eastAsia="lt-LT"/>
              </w:rPr>
              <w:t>Vardinis lempos veiksmingumas, lm/W,</w:t>
            </w:r>
          </w:p>
          <w:p>
            <w:pPr>
              <w:suppressAutoHyphens/>
              <w:jc w:val="center"/>
              <w:rPr>
                <w:sz w:val="22"/>
                <w:szCs w:val="22"/>
                <w:lang w:eastAsia="lt-LT"/>
              </w:rPr>
            </w:pPr>
            <w:r>
              <w:rPr>
                <w:sz w:val="22"/>
                <w:szCs w:val="22"/>
                <w:lang w:eastAsia="lt-LT"/>
              </w:rPr>
              <w:t>neskaidriosios lempos</w:t>
            </w:r>
          </w:p>
        </w:tc>
      </w:tr>
      <w:tr>
        <w:tc>
          <w:tcPr>
            <w:tcW w:w="709" w:type="dxa"/>
          </w:tcPr>
          <w:p>
            <w:pPr>
              <w:suppressAutoHyphens/>
              <w:jc w:val="center"/>
              <w:rPr>
                <w:sz w:val="22"/>
                <w:szCs w:val="22"/>
                <w:lang w:eastAsia="lt-LT"/>
              </w:rPr>
            </w:pPr>
            <w:r>
              <w:rPr>
                <w:sz w:val="22"/>
                <w:szCs w:val="22"/>
                <w:lang w:eastAsia="lt-LT"/>
              </w:rPr>
              <w:t>1.</w:t>
            </w:r>
          </w:p>
        </w:tc>
        <w:tc>
          <w:tcPr>
            <w:tcW w:w="2126" w:type="dxa"/>
          </w:tcPr>
          <w:p>
            <w:pPr>
              <w:suppressAutoHyphens/>
              <w:rPr>
                <w:sz w:val="22"/>
                <w:szCs w:val="22"/>
                <w:lang w:eastAsia="lt-LT"/>
              </w:rPr>
            </w:pPr>
            <w:r>
              <w:rPr>
                <w:sz w:val="22"/>
                <w:szCs w:val="22"/>
                <w:lang w:eastAsia="lt-LT"/>
              </w:rPr>
              <w:t>W ≤ 55</w:t>
            </w:r>
          </w:p>
        </w:tc>
        <w:tc>
          <w:tcPr>
            <w:tcW w:w="2977" w:type="dxa"/>
          </w:tcPr>
          <w:p>
            <w:pPr>
              <w:suppressAutoHyphens/>
              <w:jc w:val="center"/>
              <w:rPr>
                <w:sz w:val="22"/>
                <w:szCs w:val="22"/>
                <w:lang w:eastAsia="lt-LT"/>
              </w:rPr>
            </w:pPr>
            <w:r>
              <w:rPr>
                <w:sz w:val="22"/>
                <w:szCs w:val="22"/>
                <w:lang w:eastAsia="lt-LT"/>
              </w:rPr>
              <w:t>≥ 85</w:t>
            </w:r>
          </w:p>
        </w:tc>
        <w:tc>
          <w:tcPr>
            <w:tcW w:w="3147" w:type="dxa"/>
          </w:tcPr>
          <w:p>
            <w:pPr>
              <w:suppressAutoHyphens/>
              <w:jc w:val="center"/>
              <w:rPr>
                <w:sz w:val="22"/>
                <w:szCs w:val="22"/>
                <w:lang w:eastAsia="lt-LT"/>
              </w:rPr>
            </w:pPr>
            <w:r>
              <w:rPr>
                <w:sz w:val="22"/>
                <w:szCs w:val="22"/>
                <w:lang w:eastAsia="lt-LT"/>
              </w:rPr>
              <w:t>≥ 65</w:t>
            </w:r>
          </w:p>
        </w:tc>
      </w:tr>
      <w:tr>
        <w:tc>
          <w:tcPr>
            <w:tcW w:w="709" w:type="dxa"/>
          </w:tcPr>
          <w:p>
            <w:pPr>
              <w:suppressAutoHyphens/>
              <w:jc w:val="center"/>
              <w:rPr>
                <w:sz w:val="22"/>
                <w:szCs w:val="22"/>
                <w:lang w:eastAsia="lt-LT"/>
              </w:rPr>
            </w:pPr>
            <w:r>
              <w:rPr>
                <w:sz w:val="22"/>
                <w:szCs w:val="22"/>
                <w:lang w:eastAsia="lt-LT"/>
              </w:rPr>
              <w:t>2.</w:t>
            </w:r>
          </w:p>
        </w:tc>
        <w:tc>
          <w:tcPr>
            <w:tcW w:w="2126" w:type="dxa"/>
          </w:tcPr>
          <w:p>
            <w:pPr>
              <w:suppressAutoHyphens/>
              <w:rPr>
                <w:sz w:val="22"/>
                <w:szCs w:val="22"/>
                <w:lang w:eastAsia="lt-LT"/>
              </w:rPr>
            </w:pPr>
            <w:r>
              <w:rPr>
                <w:sz w:val="22"/>
                <w:szCs w:val="22"/>
                <w:lang w:eastAsia="lt-LT"/>
              </w:rPr>
              <w:t>55 &lt; W ≤ 75</w:t>
            </w:r>
          </w:p>
        </w:tc>
        <w:tc>
          <w:tcPr>
            <w:tcW w:w="2977" w:type="dxa"/>
          </w:tcPr>
          <w:p>
            <w:pPr>
              <w:suppressAutoHyphens/>
              <w:jc w:val="center"/>
              <w:rPr>
                <w:sz w:val="22"/>
                <w:szCs w:val="22"/>
                <w:lang w:eastAsia="lt-LT"/>
              </w:rPr>
            </w:pPr>
            <w:r>
              <w:rPr>
                <w:sz w:val="22"/>
                <w:szCs w:val="22"/>
                <w:lang w:eastAsia="lt-LT"/>
              </w:rPr>
              <w:t>≥ 94</w:t>
            </w:r>
          </w:p>
        </w:tc>
        <w:tc>
          <w:tcPr>
            <w:tcW w:w="3147" w:type="dxa"/>
          </w:tcPr>
          <w:p>
            <w:pPr>
              <w:suppressAutoHyphens/>
              <w:jc w:val="center"/>
              <w:rPr>
                <w:sz w:val="22"/>
                <w:szCs w:val="22"/>
                <w:lang w:eastAsia="lt-LT"/>
              </w:rPr>
            </w:pPr>
            <w:r>
              <w:rPr>
                <w:sz w:val="22"/>
                <w:szCs w:val="22"/>
                <w:lang w:eastAsia="lt-LT"/>
              </w:rPr>
              <w:t>≥ 70</w:t>
            </w:r>
          </w:p>
        </w:tc>
      </w:tr>
      <w:tr>
        <w:tc>
          <w:tcPr>
            <w:tcW w:w="709" w:type="dxa"/>
          </w:tcPr>
          <w:p>
            <w:pPr>
              <w:suppressAutoHyphens/>
              <w:jc w:val="center"/>
              <w:rPr>
                <w:sz w:val="22"/>
                <w:szCs w:val="22"/>
                <w:lang w:eastAsia="lt-LT"/>
              </w:rPr>
            </w:pPr>
            <w:r>
              <w:rPr>
                <w:sz w:val="22"/>
                <w:szCs w:val="22"/>
                <w:lang w:eastAsia="lt-LT"/>
              </w:rPr>
              <w:t>3.</w:t>
            </w:r>
          </w:p>
        </w:tc>
        <w:tc>
          <w:tcPr>
            <w:tcW w:w="2126" w:type="dxa"/>
          </w:tcPr>
          <w:p>
            <w:pPr>
              <w:suppressAutoHyphens/>
              <w:rPr>
                <w:sz w:val="22"/>
                <w:szCs w:val="22"/>
                <w:lang w:eastAsia="lt-LT"/>
              </w:rPr>
            </w:pPr>
            <w:r>
              <w:rPr>
                <w:sz w:val="22"/>
                <w:szCs w:val="22"/>
                <w:lang w:eastAsia="lt-LT"/>
              </w:rPr>
              <w:t>75 &lt; W ≤ 105</w:t>
            </w:r>
          </w:p>
        </w:tc>
        <w:tc>
          <w:tcPr>
            <w:tcW w:w="2977" w:type="dxa"/>
          </w:tcPr>
          <w:p>
            <w:pPr>
              <w:suppressAutoHyphens/>
              <w:jc w:val="center"/>
              <w:rPr>
                <w:sz w:val="22"/>
                <w:szCs w:val="22"/>
                <w:lang w:eastAsia="lt-LT"/>
              </w:rPr>
            </w:pPr>
            <w:r>
              <w:rPr>
                <w:sz w:val="22"/>
                <w:szCs w:val="22"/>
                <w:lang w:eastAsia="lt-LT"/>
              </w:rPr>
              <w:t>≥ 95</w:t>
            </w:r>
          </w:p>
        </w:tc>
        <w:tc>
          <w:tcPr>
            <w:tcW w:w="3147" w:type="dxa"/>
          </w:tcPr>
          <w:p>
            <w:pPr>
              <w:suppressAutoHyphens/>
              <w:jc w:val="center"/>
              <w:rPr>
                <w:sz w:val="22"/>
                <w:szCs w:val="22"/>
                <w:lang w:eastAsia="lt-LT"/>
              </w:rPr>
            </w:pPr>
            <w:r>
              <w:rPr>
                <w:sz w:val="22"/>
                <w:szCs w:val="22"/>
                <w:lang w:eastAsia="lt-LT"/>
              </w:rPr>
              <w:t>≥ 75</w:t>
            </w:r>
          </w:p>
        </w:tc>
      </w:tr>
      <w:tr>
        <w:tc>
          <w:tcPr>
            <w:tcW w:w="709" w:type="dxa"/>
          </w:tcPr>
          <w:p>
            <w:pPr>
              <w:suppressAutoHyphens/>
              <w:jc w:val="center"/>
              <w:rPr>
                <w:sz w:val="22"/>
                <w:szCs w:val="22"/>
                <w:lang w:eastAsia="lt-LT"/>
              </w:rPr>
            </w:pPr>
            <w:r>
              <w:rPr>
                <w:sz w:val="22"/>
                <w:szCs w:val="22"/>
                <w:lang w:eastAsia="lt-LT"/>
              </w:rPr>
              <w:t>4.</w:t>
            </w:r>
          </w:p>
        </w:tc>
        <w:tc>
          <w:tcPr>
            <w:tcW w:w="2126" w:type="dxa"/>
          </w:tcPr>
          <w:p>
            <w:pPr>
              <w:suppressAutoHyphens/>
              <w:rPr>
                <w:sz w:val="22"/>
                <w:szCs w:val="22"/>
                <w:lang w:eastAsia="lt-LT"/>
              </w:rPr>
            </w:pPr>
            <w:r>
              <w:rPr>
                <w:sz w:val="22"/>
                <w:szCs w:val="22"/>
                <w:lang w:eastAsia="lt-LT"/>
              </w:rPr>
              <w:t>105 &lt; W ≤ 155</w:t>
            </w:r>
          </w:p>
        </w:tc>
        <w:tc>
          <w:tcPr>
            <w:tcW w:w="2977" w:type="dxa"/>
          </w:tcPr>
          <w:p>
            <w:pPr>
              <w:suppressAutoHyphens/>
              <w:jc w:val="center"/>
              <w:rPr>
                <w:sz w:val="22"/>
                <w:szCs w:val="22"/>
                <w:lang w:eastAsia="lt-LT"/>
              </w:rPr>
            </w:pPr>
            <w:r>
              <w:rPr>
                <w:sz w:val="22"/>
                <w:szCs w:val="22"/>
                <w:lang w:eastAsia="lt-LT"/>
              </w:rPr>
              <w:t>≥ 96</w:t>
            </w:r>
          </w:p>
        </w:tc>
        <w:tc>
          <w:tcPr>
            <w:tcW w:w="3147" w:type="dxa"/>
          </w:tcPr>
          <w:p>
            <w:pPr>
              <w:suppressAutoHyphens/>
              <w:jc w:val="center"/>
              <w:rPr>
                <w:sz w:val="22"/>
                <w:szCs w:val="22"/>
                <w:lang w:eastAsia="lt-LT"/>
              </w:rPr>
            </w:pPr>
            <w:r>
              <w:rPr>
                <w:sz w:val="22"/>
                <w:szCs w:val="22"/>
                <w:lang w:eastAsia="lt-LT"/>
              </w:rPr>
              <w:t>≥ 75</w:t>
            </w:r>
          </w:p>
        </w:tc>
      </w:tr>
      <w:tr>
        <w:tc>
          <w:tcPr>
            <w:tcW w:w="709" w:type="dxa"/>
          </w:tcPr>
          <w:p>
            <w:pPr>
              <w:suppressAutoHyphens/>
              <w:jc w:val="center"/>
              <w:rPr>
                <w:sz w:val="22"/>
                <w:szCs w:val="22"/>
                <w:lang w:eastAsia="lt-LT"/>
              </w:rPr>
            </w:pPr>
            <w:r>
              <w:rPr>
                <w:sz w:val="22"/>
                <w:szCs w:val="22"/>
                <w:lang w:eastAsia="lt-LT"/>
              </w:rPr>
              <w:t>5.</w:t>
            </w:r>
          </w:p>
        </w:tc>
        <w:tc>
          <w:tcPr>
            <w:tcW w:w="2126" w:type="dxa"/>
          </w:tcPr>
          <w:p>
            <w:pPr>
              <w:suppressAutoHyphens/>
              <w:rPr>
                <w:sz w:val="22"/>
                <w:szCs w:val="22"/>
                <w:lang w:eastAsia="lt-LT"/>
              </w:rPr>
            </w:pPr>
            <w:r>
              <w:rPr>
                <w:sz w:val="22"/>
                <w:szCs w:val="22"/>
                <w:lang w:eastAsia="lt-LT"/>
              </w:rPr>
              <w:t>155 &lt; W ≤ 255</w:t>
            </w:r>
          </w:p>
        </w:tc>
        <w:tc>
          <w:tcPr>
            <w:tcW w:w="2977" w:type="dxa"/>
          </w:tcPr>
          <w:p>
            <w:pPr>
              <w:suppressAutoHyphens/>
              <w:jc w:val="center"/>
              <w:rPr>
                <w:sz w:val="22"/>
                <w:szCs w:val="22"/>
                <w:lang w:eastAsia="lt-LT"/>
              </w:rPr>
            </w:pPr>
            <w:r>
              <w:rPr>
                <w:sz w:val="22"/>
                <w:szCs w:val="22"/>
                <w:lang w:eastAsia="lt-LT"/>
              </w:rPr>
              <w:t>≥ 97</w:t>
            </w:r>
          </w:p>
        </w:tc>
        <w:tc>
          <w:tcPr>
            <w:tcW w:w="3147" w:type="dxa"/>
          </w:tcPr>
          <w:p>
            <w:pPr>
              <w:suppressAutoHyphens/>
              <w:jc w:val="center"/>
              <w:rPr>
                <w:sz w:val="22"/>
                <w:szCs w:val="22"/>
                <w:lang w:eastAsia="lt-LT"/>
              </w:rPr>
            </w:pPr>
            <w:r>
              <w:rPr>
                <w:sz w:val="22"/>
                <w:szCs w:val="22"/>
                <w:lang w:eastAsia="lt-LT"/>
              </w:rPr>
              <w:t>≥ 80</w:t>
            </w:r>
          </w:p>
        </w:tc>
      </w:tr>
      <w:tr>
        <w:tc>
          <w:tcPr>
            <w:tcW w:w="709" w:type="dxa"/>
          </w:tcPr>
          <w:p>
            <w:pPr>
              <w:suppressAutoHyphens/>
              <w:jc w:val="center"/>
              <w:rPr>
                <w:sz w:val="22"/>
                <w:szCs w:val="22"/>
                <w:lang w:eastAsia="lt-LT"/>
              </w:rPr>
            </w:pPr>
            <w:r>
              <w:rPr>
                <w:sz w:val="22"/>
                <w:szCs w:val="22"/>
                <w:lang w:eastAsia="lt-LT"/>
              </w:rPr>
              <w:t>6.</w:t>
            </w:r>
          </w:p>
        </w:tc>
        <w:tc>
          <w:tcPr>
            <w:tcW w:w="2126" w:type="dxa"/>
          </w:tcPr>
          <w:p>
            <w:pPr>
              <w:suppressAutoHyphens/>
              <w:rPr>
                <w:sz w:val="22"/>
                <w:szCs w:val="22"/>
                <w:lang w:eastAsia="lt-LT"/>
              </w:rPr>
            </w:pPr>
            <w:r>
              <w:rPr>
                <w:sz w:val="22"/>
                <w:szCs w:val="22"/>
                <w:lang w:eastAsia="lt-LT"/>
              </w:rPr>
              <w:t xml:space="preserve">255 &lt; W </w:t>
            </w:r>
          </w:p>
        </w:tc>
        <w:tc>
          <w:tcPr>
            <w:tcW w:w="2977" w:type="dxa"/>
          </w:tcPr>
          <w:p>
            <w:pPr>
              <w:suppressAutoHyphens/>
              <w:jc w:val="center"/>
              <w:rPr>
                <w:sz w:val="22"/>
                <w:szCs w:val="22"/>
                <w:lang w:eastAsia="lt-LT"/>
              </w:rPr>
            </w:pPr>
            <w:r>
              <w:rPr>
                <w:sz w:val="22"/>
                <w:szCs w:val="22"/>
                <w:lang w:eastAsia="lt-LT"/>
              </w:rPr>
              <w:t>≥ 98</w:t>
            </w:r>
          </w:p>
        </w:tc>
        <w:tc>
          <w:tcPr>
            <w:tcW w:w="3147" w:type="dxa"/>
          </w:tcPr>
          <w:p>
            <w:pPr>
              <w:suppressAutoHyphens/>
              <w:jc w:val="center"/>
              <w:rPr>
                <w:sz w:val="22"/>
                <w:szCs w:val="22"/>
                <w:lang w:eastAsia="lt-LT"/>
              </w:rPr>
            </w:pPr>
            <w:r>
              <w:rPr>
                <w:sz w:val="22"/>
                <w:szCs w:val="22"/>
                <w:lang w:eastAsia="lt-LT"/>
              </w:rPr>
              <w:t>≥ 80</w:t>
            </w:r>
          </w:p>
        </w:tc>
      </w:tr>
    </w:tbl>
    <w:p>
      <w:pPr>
        <w:suppressAutoHyphens/>
        <w:rPr>
          <w:lang w:eastAsia="lt-LT"/>
        </w:rPr>
      </w:pPr>
    </w:p>
    <w:p>
      <w:pPr>
        <w:suppressAutoHyphens/>
        <w:ind w:firstLine="851"/>
        <w:jc w:val="both"/>
        <w:rPr>
          <w:lang w:eastAsia="lt-LT"/>
        </w:rPr>
      </w:pPr>
      <w:r>
        <w:rPr>
          <w:lang w:eastAsia="lt-LT"/>
        </w:rPr>
        <w:t>28.2.4</w:t>
      </w:r>
      <w:r>
        <w:rPr>
          <w:lang w:eastAsia="lt-LT"/>
        </w:rPr>
        <w:t>. mažiausias didelio intensyvumo išlydžio lempų balastinių įtaisų veiksmingumas turi atitikti:</w:t>
      </w:r>
    </w:p>
    <w:tbl>
      <w:tblPr>
        <w:tblW w:w="895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19"/>
        <w:gridCol w:w="5131"/>
      </w:tblGrid>
      <w:tr>
        <w:tc>
          <w:tcPr>
            <w:tcW w:w="709" w:type="dxa"/>
          </w:tcPr>
          <w:p>
            <w:pPr>
              <w:suppressAutoHyphens/>
              <w:jc w:val="center"/>
              <w:rPr>
                <w:sz w:val="22"/>
                <w:szCs w:val="22"/>
                <w:lang w:eastAsia="lt-LT"/>
              </w:rPr>
            </w:pPr>
            <w:r>
              <w:rPr>
                <w:sz w:val="22"/>
                <w:szCs w:val="22"/>
                <w:lang w:eastAsia="lt-LT"/>
              </w:rPr>
              <w:t>Nr.</w:t>
            </w:r>
          </w:p>
        </w:tc>
        <w:tc>
          <w:tcPr>
            <w:tcW w:w="3119" w:type="dxa"/>
          </w:tcPr>
          <w:p>
            <w:pPr>
              <w:suppressAutoHyphens/>
              <w:jc w:val="center"/>
              <w:rPr>
                <w:sz w:val="22"/>
                <w:szCs w:val="22"/>
                <w:lang w:eastAsia="lt-LT"/>
              </w:rPr>
            </w:pPr>
            <w:r>
              <w:rPr>
                <w:sz w:val="22"/>
                <w:szCs w:val="22"/>
                <w:lang w:eastAsia="lt-LT"/>
              </w:rPr>
              <w:t>Nominalioji lempos galia, W</w:t>
            </w:r>
          </w:p>
        </w:tc>
        <w:tc>
          <w:tcPr>
            <w:tcW w:w="5131" w:type="dxa"/>
          </w:tcPr>
          <w:p>
            <w:pPr>
              <w:suppressAutoHyphens/>
              <w:jc w:val="center"/>
              <w:rPr>
                <w:sz w:val="22"/>
                <w:szCs w:val="22"/>
                <w:lang w:eastAsia="lt-LT"/>
              </w:rPr>
            </w:pPr>
            <w:r>
              <w:rPr>
                <w:sz w:val="22"/>
                <w:szCs w:val="22"/>
                <w:lang w:eastAsia="lt-LT"/>
              </w:rPr>
              <w:t xml:space="preserve">Mažiausias balastinio įtaiso veiksmingumas, ƞ </w:t>
            </w:r>
            <w:r>
              <w:rPr>
                <w:sz w:val="22"/>
                <w:szCs w:val="22"/>
                <w:vertAlign w:val="subscript"/>
                <w:lang w:eastAsia="lt-LT"/>
              </w:rPr>
              <w:t>balastinio įtaiso,</w:t>
            </w:r>
            <w:r>
              <w:rPr>
                <w:sz w:val="22"/>
                <w:szCs w:val="22"/>
                <w:lang w:eastAsia="lt-LT"/>
              </w:rPr>
              <w:t xml:space="preserve"> proc.</w:t>
            </w:r>
          </w:p>
        </w:tc>
      </w:tr>
      <w:tr>
        <w:tc>
          <w:tcPr>
            <w:tcW w:w="709" w:type="dxa"/>
          </w:tcPr>
          <w:p>
            <w:pPr>
              <w:suppressAutoHyphens/>
              <w:jc w:val="center"/>
              <w:rPr>
                <w:sz w:val="22"/>
                <w:szCs w:val="22"/>
                <w:lang w:eastAsia="lt-LT"/>
              </w:rPr>
            </w:pPr>
            <w:r>
              <w:rPr>
                <w:sz w:val="22"/>
                <w:szCs w:val="22"/>
                <w:lang w:eastAsia="lt-LT"/>
              </w:rPr>
              <w:t>1.</w:t>
            </w:r>
          </w:p>
        </w:tc>
        <w:tc>
          <w:tcPr>
            <w:tcW w:w="3119" w:type="dxa"/>
          </w:tcPr>
          <w:p>
            <w:pPr>
              <w:suppressAutoHyphens/>
              <w:rPr>
                <w:sz w:val="22"/>
                <w:szCs w:val="22"/>
                <w:lang w:eastAsia="lt-LT"/>
              </w:rPr>
            </w:pPr>
            <w:r>
              <w:rPr>
                <w:sz w:val="22"/>
                <w:szCs w:val="22"/>
                <w:lang w:eastAsia="lt-LT"/>
              </w:rPr>
              <w:t>W &lt; 30</w:t>
            </w:r>
          </w:p>
        </w:tc>
        <w:tc>
          <w:tcPr>
            <w:tcW w:w="5131" w:type="dxa"/>
          </w:tcPr>
          <w:p>
            <w:pPr>
              <w:suppressAutoHyphens/>
              <w:jc w:val="center"/>
              <w:rPr>
                <w:sz w:val="22"/>
                <w:szCs w:val="22"/>
                <w:lang w:eastAsia="lt-LT"/>
              </w:rPr>
            </w:pPr>
            <w:r>
              <w:rPr>
                <w:sz w:val="22"/>
                <w:szCs w:val="22"/>
                <w:lang w:eastAsia="lt-LT"/>
              </w:rPr>
              <w:t>70</w:t>
            </w:r>
          </w:p>
        </w:tc>
      </w:tr>
      <w:tr>
        <w:tc>
          <w:tcPr>
            <w:tcW w:w="709" w:type="dxa"/>
          </w:tcPr>
          <w:p>
            <w:pPr>
              <w:suppressAutoHyphens/>
              <w:jc w:val="center"/>
              <w:rPr>
                <w:sz w:val="22"/>
                <w:szCs w:val="22"/>
                <w:lang w:eastAsia="lt-LT"/>
              </w:rPr>
            </w:pPr>
            <w:r>
              <w:rPr>
                <w:sz w:val="22"/>
                <w:szCs w:val="22"/>
                <w:lang w:eastAsia="lt-LT"/>
              </w:rPr>
              <w:t>2.</w:t>
            </w:r>
          </w:p>
        </w:tc>
        <w:tc>
          <w:tcPr>
            <w:tcW w:w="3119" w:type="dxa"/>
          </w:tcPr>
          <w:p>
            <w:pPr>
              <w:suppressAutoHyphens/>
              <w:rPr>
                <w:sz w:val="22"/>
                <w:szCs w:val="22"/>
                <w:lang w:eastAsia="lt-LT"/>
              </w:rPr>
            </w:pPr>
            <w:r>
              <w:rPr>
                <w:sz w:val="22"/>
                <w:szCs w:val="22"/>
                <w:lang w:eastAsia="lt-LT"/>
              </w:rPr>
              <w:t>30 &lt; W ≤ 75</w:t>
            </w:r>
          </w:p>
        </w:tc>
        <w:tc>
          <w:tcPr>
            <w:tcW w:w="5131" w:type="dxa"/>
          </w:tcPr>
          <w:p>
            <w:pPr>
              <w:suppressAutoHyphens/>
              <w:jc w:val="center"/>
              <w:rPr>
                <w:sz w:val="22"/>
                <w:szCs w:val="22"/>
                <w:lang w:eastAsia="lt-LT"/>
              </w:rPr>
            </w:pPr>
            <w:r>
              <w:rPr>
                <w:sz w:val="22"/>
                <w:szCs w:val="22"/>
                <w:lang w:eastAsia="lt-LT"/>
              </w:rPr>
              <w:t>80</w:t>
            </w:r>
          </w:p>
        </w:tc>
      </w:tr>
      <w:tr>
        <w:tc>
          <w:tcPr>
            <w:tcW w:w="709" w:type="dxa"/>
          </w:tcPr>
          <w:p>
            <w:pPr>
              <w:suppressAutoHyphens/>
              <w:jc w:val="center"/>
              <w:rPr>
                <w:sz w:val="22"/>
                <w:szCs w:val="22"/>
                <w:lang w:eastAsia="lt-LT"/>
              </w:rPr>
            </w:pPr>
            <w:r>
              <w:rPr>
                <w:sz w:val="22"/>
                <w:szCs w:val="22"/>
                <w:lang w:eastAsia="lt-LT"/>
              </w:rPr>
              <w:t>3.</w:t>
            </w:r>
          </w:p>
        </w:tc>
        <w:tc>
          <w:tcPr>
            <w:tcW w:w="3119" w:type="dxa"/>
          </w:tcPr>
          <w:p>
            <w:pPr>
              <w:suppressAutoHyphens/>
              <w:rPr>
                <w:sz w:val="22"/>
                <w:szCs w:val="22"/>
                <w:lang w:eastAsia="lt-LT"/>
              </w:rPr>
            </w:pPr>
            <w:r>
              <w:rPr>
                <w:sz w:val="22"/>
                <w:szCs w:val="22"/>
                <w:lang w:eastAsia="lt-LT"/>
              </w:rPr>
              <w:t>75 &lt; W ≤ 105</w:t>
            </w:r>
          </w:p>
        </w:tc>
        <w:tc>
          <w:tcPr>
            <w:tcW w:w="5131" w:type="dxa"/>
          </w:tcPr>
          <w:p>
            <w:pPr>
              <w:suppressAutoHyphens/>
              <w:jc w:val="center"/>
              <w:rPr>
                <w:sz w:val="22"/>
                <w:szCs w:val="22"/>
                <w:lang w:eastAsia="lt-LT"/>
              </w:rPr>
            </w:pPr>
            <w:r>
              <w:rPr>
                <w:sz w:val="22"/>
                <w:szCs w:val="22"/>
                <w:lang w:eastAsia="lt-LT"/>
              </w:rPr>
              <w:t>82</w:t>
            </w:r>
          </w:p>
        </w:tc>
      </w:tr>
      <w:tr>
        <w:tc>
          <w:tcPr>
            <w:tcW w:w="709" w:type="dxa"/>
          </w:tcPr>
          <w:p>
            <w:pPr>
              <w:suppressAutoHyphens/>
              <w:jc w:val="center"/>
              <w:rPr>
                <w:sz w:val="22"/>
                <w:szCs w:val="22"/>
                <w:lang w:eastAsia="lt-LT"/>
              </w:rPr>
            </w:pPr>
            <w:r>
              <w:rPr>
                <w:sz w:val="22"/>
                <w:szCs w:val="22"/>
                <w:lang w:eastAsia="lt-LT"/>
              </w:rPr>
              <w:t>4.</w:t>
            </w:r>
          </w:p>
        </w:tc>
        <w:tc>
          <w:tcPr>
            <w:tcW w:w="3119" w:type="dxa"/>
          </w:tcPr>
          <w:p>
            <w:pPr>
              <w:suppressAutoHyphens/>
              <w:rPr>
                <w:sz w:val="22"/>
                <w:szCs w:val="22"/>
                <w:lang w:eastAsia="lt-LT"/>
              </w:rPr>
            </w:pPr>
            <w:r>
              <w:rPr>
                <w:sz w:val="22"/>
                <w:szCs w:val="22"/>
                <w:lang w:eastAsia="lt-LT"/>
              </w:rPr>
              <w:t>105 &lt; W ≤ 405</w:t>
            </w:r>
          </w:p>
        </w:tc>
        <w:tc>
          <w:tcPr>
            <w:tcW w:w="5131" w:type="dxa"/>
          </w:tcPr>
          <w:p>
            <w:pPr>
              <w:suppressAutoHyphens/>
              <w:jc w:val="center"/>
              <w:rPr>
                <w:sz w:val="22"/>
                <w:szCs w:val="22"/>
                <w:lang w:eastAsia="lt-LT"/>
              </w:rPr>
            </w:pPr>
            <w:r>
              <w:rPr>
                <w:sz w:val="22"/>
                <w:szCs w:val="22"/>
                <w:lang w:eastAsia="lt-LT"/>
              </w:rPr>
              <w:t>86</w:t>
            </w:r>
          </w:p>
        </w:tc>
      </w:tr>
      <w:tr>
        <w:tc>
          <w:tcPr>
            <w:tcW w:w="709" w:type="dxa"/>
          </w:tcPr>
          <w:p>
            <w:pPr>
              <w:suppressAutoHyphens/>
              <w:jc w:val="center"/>
              <w:rPr>
                <w:sz w:val="22"/>
                <w:szCs w:val="22"/>
                <w:lang w:eastAsia="lt-LT"/>
              </w:rPr>
            </w:pPr>
            <w:r>
              <w:rPr>
                <w:sz w:val="22"/>
                <w:szCs w:val="22"/>
                <w:lang w:eastAsia="lt-LT"/>
              </w:rPr>
              <w:t>5.</w:t>
            </w:r>
          </w:p>
        </w:tc>
        <w:tc>
          <w:tcPr>
            <w:tcW w:w="3119" w:type="dxa"/>
          </w:tcPr>
          <w:p>
            <w:pPr>
              <w:suppressAutoHyphens/>
              <w:rPr>
                <w:sz w:val="22"/>
                <w:szCs w:val="22"/>
                <w:lang w:eastAsia="lt-LT"/>
              </w:rPr>
            </w:pPr>
            <w:r>
              <w:rPr>
                <w:sz w:val="22"/>
                <w:szCs w:val="22"/>
                <w:lang w:eastAsia="lt-LT"/>
              </w:rPr>
              <w:t>W &gt; 405</w:t>
            </w:r>
          </w:p>
        </w:tc>
        <w:tc>
          <w:tcPr>
            <w:tcW w:w="5131" w:type="dxa"/>
          </w:tcPr>
          <w:p>
            <w:pPr>
              <w:suppressAutoHyphens/>
              <w:jc w:val="center"/>
              <w:rPr>
                <w:sz w:val="22"/>
                <w:szCs w:val="22"/>
                <w:lang w:eastAsia="lt-LT"/>
              </w:rPr>
            </w:pPr>
            <w:r>
              <w:rPr>
                <w:sz w:val="22"/>
                <w:szCs w:val="22"/>
                <w:lang w:eastAsia="lt-LT"/>
              </w:rPr>
              <w:t>91</w:t>
            </w:r>
          </w:p>
        </w:tc>
      </w:tr>
    </w:tbl>
    <w:p>
      <w:pPr>
        <w:suppressAutoHyphens/>
        <w:ind w:firstLine="851"/>
        <w:jc w:val="both"/>
        <w:rPr>
          <w:lang w:eastAsia="lt-LT"/>
        </w:rPr>
      </w:pPr>
    </w:p>
    <w:p>
      <w:pPr>
        <w:suppressAutoHyphens/>
        <w:ind w:firstLine="851"/>
        <w:jc w:val="both"/>
        <w:rPr>
          <w:lang w:eastAsia="lt-LT"/>
        </w:rPr>
      </w:pPr>
      <w:r>
        <w:rPr>
          <w:lang w:eastAsia="lt-LT"/>
        </w:rPr>
        <w:t>28.2.5</w:t>
      </w:r>
      <w:r>
        <w:rPr>
          <w:lang w:eastAsia="lt-LT"/>
        </w:rPr>
        <w:t xml:space="preserve">. lempų šviesos srauto išlaikymo faktorių (angl. </w:t>
      </w:r>
      <w:r>
        <w:rPr>
          <w:i/>
          <w:iCs/>
          <w:lang w:eastAsia="lt-LT"/>
        </w:rPr>
        <w:t>Lamp Lumen Maintenance Factor</w:t>
      </w:r>
      <w:r>
        <w:rPr>
          <w:lang w:eastAsia="lt-LT"/>
        </w:rPr>
        <w:t>, LLMF) ir lempos negendamumo faktorių (angl</w:t>
      </w:r>
      <w:r>
        <w:rPr>
          <w:i/>
          <w:iCs/>
          <w:lang w:eastAsia="lt-LT"/>
        </w:rPr>
        <w:t>. Lamp Survival Factors</w:t>
      </w:r>
      <w:r>
        <w:rPr>
          <w:lang w:eastAsia="lt-LT"/>
        </w:rPr>
        <w:t>, LSF) reikšmės turi atitikti:</w:t>
      </w:r>
    </w:p>
    <w:tbl>
      <w:tblPr>
        <w:tblW w:w="895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43"/>
        <w:gridCol w:w="1559"/>
        <w:gridCol w:w="1276"/>
        <w:gridCol w:w="1276"/>
        <w:gridCol w:w="2296"/>
      </w:tblGrid>
      <w:tr>
        <w:tc>
          <w:tcPr>
            <w:tcW w:w="709" w:type="dxa"/>
          </w:tcPr>
          <w:p>
            <w:pPr>
              <w:suppressAutoHyphens/>
              <w:jc w:val="center"/>
              <w:rPr>
                <w:sz w:val="22"/>
                <w:szCs w:val="22"/>
                <w:lang w:eastAsia="lt-LT"/>
              </w:rPr>
            </w:pPr>
            <w:r>
              <w:rPr>
                <w:sz w:val="22"/>
                <w:szCs w:val="22"/>
                <w:lang w:eastAsia="lt-LT"/>
              </w:rPr>
              <w:t>Nr.</w:t>
            </w:r>
          </w:p>
        </w:tc>
        <w:tc>
          <w:tcPr>
            <w:tcW w:w="1843" w:type="dxa"/>
          </w:tcPr>
          <w:p>
            <w:pPr>
              <w:suppressAutoHyphens/>
              <w:jc w:val="center"/>
              <w:rPr>
                <w:sz w:val="22"/>
                <w:szCs w:val="22"/>
                <w:lang w:eastAsia="lt-LT"/>
              </w:rPr>
            </w:pPr>
            <w:r>
              <w:rPr>
                <w:sz w:val="22"/>
                <w:szCs w:val="22"/>
                <w:lang w:eastAsia="lt-LT"/>
              </w:rPr>
              <w:t>Veikimo trukmė, h</w:t>
            </w:r>
          </w:p>
        </w:tc>
        <w:tc>
          <w:tcPr>
            <w:tcW w:w="1559" w:type="dxa"/>
          </w:tcPr>
          <w:p>
            <w:pPr>
              <w:suppressAutoHyphens/>
              <w:jc w:val="center"/>
              <w:rPr>
                <w:sz w:val="22"/>
                <w:szCs w:val="22"/>
                <w:lang w:eastAsia="lt-LT"/>
              </w:rPr>
            </w:pPr>
            <w:r>
              <w:rPr>
                <w:sz w:val="22"/>
                <w:szCs w:val="22"/>
                <w:lang w:eastAsia="lt-LT"/>
              </w:rPr>
              <w:t>2 000</w:t>
            </w:r>
          </w:p>
        </w:tc>
        <w:tc>
          <w:tcPr>
            <w:tcW w:w="1276" w:type="dxa"/>
          </w:tcPr>
          <w:p>
            <w:pPr>
              <w:suppressAutoHyphens/>
              <w:jc w:val="center"/>
              <w:rPr>
                <w:sz w:val="22"/>
                <w:szCs w:val="22"/>
                <w:lang w:eastAsia="lt-LT"/>
              </w:rPr>
            </w:pPr>
            <w:r>
              <w:rPr>
                <w:sz w:val="22"/>
                <w:szCs w:val="22"/>
                <w:lang w:eastAsia="lt-LT"/>
              </w:rPr>
              <w:t>4 000</w:t>
            </w:r>
          </w:p>
        </w:tc>
        <w:tc>
          <w:tcPr>
            <w:tcW w:w="1276" w:type="dxa"/>
          </w:tcPr>
          <w:p>
            <w:pPr>
              <w:suppressAutoHyphens/>
              <w:jc w:val="center"/>
              <w:rPr>
                <w:sz w:val="22"/>
                <w:szCs w:val="22"/>
                <w:lang w:eastAsia="lt-LT"/>
              </w:rPr>
            </w:pPr>
            <w:r>
              <w:rPr>
                <w:sz w:val="22"/>
                <w:szCs w:val="22"/>
                <w:lang w:eastAsia="lt-LT"/>
              </w:rPr>
              <w:t>8 000</w:t>
            </w:r>
          </w:p>
        </w:tc>
        <w:tc>
          <w:tcPr>
            <w:tcW w:w="2296" w:type="dxa"/>
          </w:tcPr>
          <w:p>
            <w:pPr>
              <w:suppressAutoHyphens/>
              <w:jc w:val="center"/>
              <w:rPr>
                <w:sz w:val="22"/>
                <w:szCs w:val="22"/>
                <w:lang w:eastAsia="lt-LT"/>
              </w:rPr>
            </w:pPr>
            <w:r>
              <w:rPr>
                <w:sz w:val="22"/>
                <w:szCs w:val="22"/>
                <w:lang w:eastAsia="lt-LT"/>
              </w:rPr>
              <w:t>16 000</w:t>
            </w:r>
          </w:p>
        </w:tc>
      </w:tr>
      <w:tr>
        <w:tc>
          <w:tcPr>
            <w:tcW w:w="709" w:type="dxa"/>
          </w:tcPr>
          <w:p>
            <w:pPr>
              <w:suppressAutoHyphens/>
              <w:jc w:val="center"/>
              <w:rPr>
                <w:sz w:val="22"/>
                <w:szCs w:val="22"/>
                <w:lang w:eastAsia="lt-LT"/>
              </w:rPr>
            </w:pPr>
            <w:r>
              <w:rPr>
                <w:sz w:val="22"/>
                <w:szCs w:val="22"/>
                <w:lang w:eastAsia="lt-LT"/>
              </w:rPr>
              <w:t>1.</w:t>
            </w:r>
          </w:p>
        </w:tc>
        <w:tc>
          <w:tcPr>
            <w:tcW w:w="1843" w:type="dxa"/>
          </w:tcPr>
          <w:p>
            <w:pPr>
              <w:suppressAutoHyphens/>
              <w:rPr>
                <w:sz w:val="22"/>
                <w:szCs w:val="22"/>
                <w:lang w:eastAsia="lt-LT"/>
              </w:rPr>
            </w:pPr>
            <w:r>
              <w:rPr>
                <w:sz w:val="22"/>
                <w:szCs w:val="22"/>
                <w:lang w:eastAsia="lt-LT"/>
              </w:rPr>
              <w:t>LLMF</w:t>
            </w:r>
          </w:p>
        </w:tc>
        <w:tc>
          <w:tcPr>
            <w:tcW w:w="1559" w:type="dxa"/>
          </w:tcPr>
          <w:p>
            <w:pPr>
              <w:suppressAutoHyphens/>
              <w:jc w:val="center"/>
              <w:rPr>
                <w:sz w:val="22"/>
                <w:szCs w:val="22"/>
                <w:lang w:eastAsia="lt-LT"/>
              </w:rPr>
            </w:pPr>
            <w:r>
              <w:rPr>
                <w:sz w:val="22"/>
                <w:szCs w:val="22"/>
                <w:lang w:eastAsia="lt-LT"/>
              </w:rPr>
              <w:t>0,98</w:t>
            </w:r>
          </w:p>
        </w:tc>
        <w:tc>
          <w:tcPr>
            <w:tcW w:w="1276" w:type="dxa"/>
          </w:tcPr>
          <w:p>
            <w:pPr>
              <w:suppressAutoHyphens/>
              <w:jc w:val="center"/>
              <w:rPr>
                <w:sz w:val="22"/>
                <w:szCs w:val="22"/>
                <w:lang w:eastAsia="lt-LT"/>
              </w:rPr>
            </w:pPr>
            <w:r>
              <w:rPr>
                <w:sz w:val="22"/>
                <w:szCs w:val="22"/>
                <w:lang w:eastAsia="lt-LT"/>
              </w:rPr>
              <w:t>0,97</w:t>
            </w:r>
          </w:p>
        </w:tc>
        <w:tc>
          <w:tcPr>
            <w:tcW w:w="1276" w:type="dxa"/>
          </w:tcPr>
          <w:p>
            <w:pPr>
              <w:suppressAutoHyphens/>
              <w:jc w:val="center"/>
              <w:rPr>
                <w:sz w:val="22"/>
                <w:szCs w:val="22"/>
                <w:lang w:eastAsia="lt-LT"/>
              </w:rPr>
            </w:pPr>
            <w:r>
              <w:rPr>
                <w:sz w:val="22"/>
                <w:szCs w:val="22"/>
                <w:lang w:eastAsia="lt-LT"/>
              </w:rPr>
              <w:t>0,95</w:t>
            </w:r>
          </w:p>
        </w:tc>
        <w:tc>
          <w:tcPr>
            <w:tcW w:w="2296" w:type="dxa"/>
          </w:tcPr>
          <w:p>
            <w:pPr>
              <w:suppressAutoHyphens/>
              <w:jc w:val="center"/>
              <w:rPr>
                <w:sz w:val="22"/>
                <w:szCs w:val="22"/>
                <w:lang w:eastAsia="lt-LT"/>
              </w:rPr>
            </w:pPr>
            <w:r>
              <w:rPr>
                <w:sz w:val="22"/>
                <w:szCs w:val="22"/>
                <w:lang w:eastAsia="lt-LT"/>
              </w:rPr>
              <w:t>0,92</w:t>
            </w:r>
          </w:p>
        </w:tc>
      </w:tr>
      <w:tr>
        <w:tc>
          <w:tcPr>
            <w:tcW w:w="709" w:type="dxa"/>
          </w:tcPr>
          <w:p>
            <w:pPr>
              <w:suppressAutoHyphens/>
              <w:jc w:val="center"/>
              <w:rPr>
                <w:sz w:val="22"/>
                <w:szCs w:val="22"/>
                <w:lang w:eastAsia="lt-LT"/>
              </w:rPr>
            </w:pPr>
            <w:r>
              <w:rPr>
                <w:sz w:val="22"/>
                <w:szCs w:val="22"/>
                <w:lang w:eastAsia="lt-LT"/>
              </w:rPr>
              <w:t>2.</w:t>
            </w:r>
          </w:p>
        </w:tc>
        <w:tc>
          <w:tcPr>
            <w:tcW w:w="1843" w:type="dxa"/>
          </w:tcPr>
          <w:p>
            <w:pPr>
              <w:suppressAutoHyphens/>
              <w:rPr>
                <w:sz w:val="22"/>
                <w:szCs w:val="22"/>
                <w:lang w:eastAsia="lt-LT"/>
              </w:rPr>
            </w:pPr>
            <w:r>
              <w:rPr>
                <w:sz w:val="22"/>
                <w:szCs w:val="22"/>
                <w:lang w:eastAsia="lt-LT"/>
              </w:rPr>
              <w:t>LSF</w:t>
            </w:r>
          </w:p>
        </w:tc>
        <w:tc>
          <w:tcPr>
            <w:tcW w:w="1559" w:type="dxa"/>
          </w:tcPr>
          <w:p>
            <w:pPr>
              <w:suppressAutoHyphens/>
              <w:jc w:val="center"/>
              <w:rPr>
                <w:sz w:val="22"/>
                <w:szCs w:val="22"/>
                <w:lang w:eastAsia="lt-LT"/>
              </w:rPr>
            </w:pPr>
            <w:r>
              <w:rPr>
                <w:sz w:val="22"/>
                <w:szCs w:val="22"/>
                <w:lang w:eastAsia="lt-LT"/>
              </w:rPr>
              <w:t>0,99</w:t>
            </w:r>
          </w:p>
        </w:tc>
        <w:tc>
          <w:tcPr>
            <w:tcW w:w="1276" w:type="dxa"/>
          </w:tcPr>
          <w:p>
            <w:pPr>
              <w:suppressAutoHyphens/>
              <w:jc w:val="center"/>
              <w:rPr>
                <w:sz w:val="22"/>
                <w:szCs w:val="22"/>
                <w:lang w:eastAsia="lt-LT"/>
              </w:rPr>
            </w:pPr>
            <w:r>
              <w:rPr>
                <w:sz w:val="22"/>
                <w:szCs w:val="22"/>
                <w:lang w:eastAsia="lt-LT"/>
              </w:rPr>
              <w:t>0,98</w:t>
            </w:r>
          </w:p>
        </w:tc>
        <w:tc>
          <w:tcPr>
            <w:tcW w:w="1276" w:type="dxa"/>
          </w:tcPr>
          <w:p>
            <w:pPr>
              <w:suppressAutoHyphens/>
              <w:jc w:val="center"/>
              <w:rPr>
                <w:sz w:val="22"/>
                <w:szCs w:val="22"/>
                <w:lang w:eastAsia="lt-LT"/>
              </w:rPr>
            </w:pPr>
            <w:r>
              <w:rPr>
                <w:sz w:val="22"/>
                <w:szCs w:val="22"/>
                <w:lang w:eastAsia="lt-LT"/>
              </w:rPr>
              <w:t>0,95</w:t>
            </w:r>
          </w:p>
        </w:tc>
        <w:tc>
          <w:tcPr>
            <w:tcW w:w="2296" w:type="dxa"/>
          </w:tcPr>
          <w:p>
            <w:pPr>
              <w:suppressAutoHyphens/>
              <w:jc w:val="center"/>
              <w:rPr>
                <w:sz w:val="22"/>
                <w:szCs w:val="22"/>
                <w:lang w:eastAsia="lt-LT"/>
              </w:rPr>
            </w:pPr>
            <w:r>
              <w:rPr>
                <w:sz w:val="22"/>
                <w:szCs w:val="22"/>
                <w:lang w:eastAsia="lt-LT"/>
              </w:rPr>
              <w:t>0,92</w:t>
            </w:r>
          </w:p>
        </w:tc>
      </w:tr>
    </w:tbl>
    <w:p>
      <w:pPr>
        <w:suppressAutoHyphens/>
        <w:rPr>
          <w:lang w:eastAsia="lt-LT"/>
        </w:rPr>
      </w:pPr>
    </w:p>
    <w:p>
      <w:pPr>
        <w:suppressAutoHyphens/>
        <w:ind w:firstLine="851"/>
        <w:jc w:val="both"/>
        <w:rPr>
          <w:lang w:eastAsia="lt-LT"/>
        </w:rPr>
      </w:pPr>
      <w:r>
        <w:rPr>
          <w:lang w:eastAsia="lt-LT"/>
        </w:rPr>
        <w:t>28.2.6</w:t>
      </w:r>
      <w:r>
        <w:rPr>
          <w:lang w:eastAsia="lt-LT"/>
        </w:rPr>
        <w:t>. didelio intensyvumo išlydžio lempose gyvsidabrio neturi būti daugiau kaip:</w:t>
      </w:r>
    </w:p>
    <w:tbl>
      <w:tblPr>
        <w:tblW w:w="895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995"/>
        <w:gridCol w:w="3289"/>
      </w:tblGrid>
      <w:tr>
        <w:trPr>
          <w:trHeight w:val="554"/>
        </w:trPr>
        <w:tc>
          <w:tcPr>
            <w:tcW w:w="675" w:type="dxa"/>
          </w:tcPr>
          <w:p>
            <w:pPr>
              <w:suppressAutoHyphens/>
              <w:jc w:val="center"/>
              <w:rPr>
                <w:sz w:val="22"/>
                <w:szCs w:val="22"/>
                <w:lang w:eastAsia="lt-LT"/>
              </w:rPr>
            </w:pPr>
            <w:r>
              <w:rPr>
                <w:sz w:val="22"/>
                <w:szCs w:val="22"/>
                <w:lang w:eastAsia="lt-LT"/>
              </w:rPr>
              <w:t>Nr.</w:t>
            </w:r>
          </w:p>
        </w:tc>
        <w:tc>
          <w:tcPr>
            <w:tcW w:w="4995" w:type="dxa"/>
          </w:tcPr>
          <w:p>
            <w:pPr>
              <w:suppressAutoHyphens/>
              <w:jc w:val="center"/>
              <w:rPr>
                <w:sz w:val="22"/>
                <w:szCs w:val="22"/>
                <w:lang w:eastAsia="lt-LT"/>
              </w:rPr>
            </w:pPr>
            <w:r>
              <w:rPr>
                <w:sz w:val="22"/>
                <w:szCs w:val="22"/>
                <w:lang w:eastAsia="lt-LT"/>
              </w:rPr>
              <w:t>Lempos tipas</w:t>
            </w:r>
          </w:p>
          <w:p>
            <w:pPr>
              <w:suppressAutoHyphens/>
              <w:jc w:val="center"/>
              <w:rPr>
                <w:sz w:val="22"/>
                <w:szCs w:val="22"/>
                <w:lang w:eastAsia="lt-LT"/>
              </w:rPr>
            </w:pPr>
          </w:p>
        </w:tc>
        <w:tc>
          <w:tcPr>
            <w:tcW w:w="3289" w:type="dxa"/>
          </w:tcPr>
          <w:p>
            <w:pPr>
              <w:suppressAutoHyphens/>
              <w:jc w:val="center"/>
              <w:rPr>
                <w:sz w:val="22"/>
                <w:szCs w:val="22"/>
                <w:lang w:eastAsia="lt-LT"/>
              </w:rPr>
            </w:pPr>
            <w:r>
              <w:rPr>
                <w:sz w:val="22"/>
                <w:szCs w:val="22"/>
                <w:lang w:eastAsia="lt-LT"/>
              </w:rPr>
              <w:t>mg/vnt.</w:t>
            </w:r>
          </w:p>
        </w:tc>
      </w:tr>
      <w:tr>
        <w:trPr>
          <w:trHeight w:val="277"/>
        </w:trPr>
        <w:tc>
          <w:tcPr>
            <w:tcW w:w="675" w:type="dxa"/>
          </w:tcPr>
          <w:p>
            <w:pPr>
              <w:suppressAutoHyphens/>
              <w:jc w:val="center"/>
              <w:rPr>
                <w:sz w:val="22"/>
                <w:szCs w:val="22"/>
                <w:lang w:eastAsia="lt-LT"/>
              </w:rPr>
            </w:pPr>
            <w:r>
              <w:rPr>
                <w:sz w:val="22"/>
                <w:szCs w:val="22"/>
                <w:lang w:eastAsia="lt-LT"/>
              </w:rPr>
              <w:t>1.</w:t>
            </w:r>
          </w:p>
        </w:tc>
        <w:tc>
          <w:tcPr>
            <w:tcW w:w="4995" w:type="dxa"/>
          </w:tcPr>
          <w:p>
            <w:pPr>
              <w:suppressAutoHyphens/>
              <w:rPr>
                <w:sz w:val="22"/>
                <w:szCs w:val="22"/>
                <w:lang w:eastAsia="lt-LT"/>
              </w:rPr>
            </w:pPr>
            <w:r>
              <w:rPr>
                <w:sz w:val="22"/>
                <w:szCs w:val="22"/>
                <w:lang w:eastAsia="lt-LT"/>
              </w:rPr>
              <w:t>Aukšto slėgio natrio lempos (W ≤ 155)</w:t>
            </w:r>
          </w:p>
        </w:tc>
        <w:tc>
          <w:tcPr>
            <w:tcW w:w="3289" w:type="dxa"/>
          </w:tcPr>
          <w:p>
            <w:pPr>
              <w:suppressAutoHyphens/>
              <w:jc w:val="center"/>
              <w:rPr>
                <w:sz w:val="22"/>
                <w:szCs w:val="22"/>
                <w:lang w:eastAsia="lt-LT"/>
              </w:rPr>
            </w:pPr>
            <w:r>
              <w:rPr>
                <w:sz w:val="22"/>
                <w:szCs w:val="22"/>
                <w:lang w:eastAsia="lt-LT"/>
              </w:rPr>
              <w:t>25</w:t>
            </w:r>
          </w:p>
        </w:tc>
      </w:tr>
      <w:tr>
        <w:trPr>
          <w:trHeight w:val="277"/>
        </w:trPr>
        <w:tc>
          <w:tcPr>
            <w:tcW w:w="675" w:type="dxa"/>
          </w:tcPr>
          <w:p>
            <w:pPr>
              <w:suppressAutoHyphens/>
              <w:jc w:val="center"/>
              <w:rPr>
                <w:sz w:val="22"/>
                <w:szCs w:val="22"/>
                <w:lang w:eastAsia="lt-LT"/>
              </w:rPr>
            </w:pPr>
            <w:r>
              <w:rPr>
                <w:sz w:val="22"/>
                <w:szCs w:val="22"/>
                <w:lang w:eastAsia="lt-LT"/>
              </w:rPr>
              <w:t>2.</w:t>
            </w:r>
          </w:p>
        </w:tc>
        <w:tc>
          <w:tcPr>
            <w:tcW w:w="4995" w:type="dxa"/>
          </w:tcPr>
          <w:p>
            <w:pPr>
              <w:suppressAutoHyphens/>
              <w:rPr>
                <w:sz w:val="22"/>
                <w:szCs w:val="22"/>
                <w:lang w:eastAsia="lt-LT"/>
              </w:rPr>
            </w:pPr>
            <w:r>
              <w:rPr>
                <w:sz w:val="22"/>
                <w:szCs w:val="22"/>
                <w:lang w:eastAsia="lt-LT"/>
              </w:rPr>
              <w:t>Aukšto slėgio natrio lempos ( 155 &lt; W ≤ 405)</w:t>
            </w:r>
          </w:p>
        </w:tc>
        <w:tc>
          <w:tcPr>
            <w:tcW w:w="3289" w:type="dxa"/>
          </w:tcPr>
          <w:p>
            <w:pPr>
              <w:suppressAutoHyphens/>
              <w:jc w:val="center"/>
              <w:rPr>
                <w:sz w:val="22"/>
                <w:szCs w:val="22"/>
                <w:lang w:eastAsia="lt-LT"/>
              </w:rPr>
            </w:pPr>
            <w:r>
              <w:rPr>
                <w:sz w:val="22"/>
                <w:szCs w:val="22"/>
                <w:lang w:eastAsia="lt-LT"/>
              </w:rPr>
              <w:t>30</w:t>
            </w:r>
          </w:p>
        </w:tc>
      </w:tr>
      <w:tr>
        <w:trPr>
          <w:trHeight w:val="277"/>
        </w:trPr>
        <w:tc>
          <w:tcPr>
            <w:tcW w:w="675" w:type="dxa"/>
          </w:tcPr>
          <w:p>
            <w:pPr>
              <w:suppressAutoHyphens/>
              <w:jc w:val="center"/>
              <w:rPr>
                <w:sz w:val="22"/>
                <w:szCs w:val="22"/>
                <w:lang w:eastAsia="lt-LT"/>
              </w:rPr>
            </w:pPr>
            <w:r>
              <w:rPr>
                <w:sz w:val="22"/>
                <w:szCs w:val="22"/>
                <w:lang w:eastAsia="lt-LT"/>
              </w:rPr>
              <w:t>3.</w:t>
            </w:r>
          </w:p>
        </w:tc>
        <w:tc>
          <w:tcPr>
            <w:tcW w:w="4995" w:type="dxa"/>
          </w:tcPr>
          <w:p>
            <w:pPr>
              <w:suppressAutoHyphens/>
              <w:rPr>
                <w:sz w:val="22"/>
                <w:szCs w:val="22"/>
                <w:lang w:eastAsia="lt-LT"/>
              </w:rPr>
            </w:pPr>
            <w:r>
              <w:rPr>
                <w:sz w:val="22"/>
                <w:szCs w:val="22"/>
                <w:lang w:eastAsia="lt-LT"/>
              </w:rPr>
              <w:t>Aukšto slėgio natrio lempos (W &gt; 405)</w:t>
            </w:r>
          </w:p>
        </w:tc>
        <w:tc>
          <w:tcPr>
            <w:tcW w:w="3289" w:type="dxa"/>
          </w:tcPr>
          <w:p>
            <w:pPr>
              <w:suppressAutoHyphens/>
              <w:jc w:val="center"/>
              <w:rPr>
                <w:sz w:val="22"/>
                <w:szCs w:val="22"/>
                <w:lang w:eastAsia="lt-LT"/>
              </w:rPr>
            </w:pPr>
            <w:r>
              <w:rPr>
                <w:sz w:val="22"/>
                <w:szCs w:val="22"/>
                <w:lang w:eastAsia="lt-LT"/>
              </w:rPr>
              <w:t>40</w:t>
            </w:r>
          </w:p>
        </w:tc>
      </w:tr>
      <w:tr>
        <w:trPr>
          <w:trHeight w:val="277"/>
        </w:trPr>
        <w:tc>
          <w:tcPr>
            <w:tcW w:w="675" w:type="dxa"/>
          </w:tcPr>
          <w:p>
            <w:pPr>
              <w:suppressAutoHyphens/>
              <w:jc w:val="center"/>
              <w:rPr>
                <w:sz w:val="22"/>
                <w:szCs w:val="22"/>
                <w:lang w:eastAsia="lt-LT"/>
              </w:rPr>
            </w:pPr>
            <w:r>
              <w:rPr>
                <w:sz w:val="22"/>
                <w:szCs w:val="22"/>
                <w:lang w:eastAsia="lt-LT"/>
              </w:rPr>
              <w:t>4.</w:t>
            </w:r>
          </w:p>
        </w:tc>
        <w:tc>
          <w:tcPr>
            <w:tcW w:w="4995" w:type="dxa"/>
          </w:tcPr>
          <w:p>
            <w:pPr>
              <w:suppressAutoHyphens/>
              <w:rPr>
                <w:sz w:val="22"/>
                <w:szCs w:val="22"/>
                <w:lang w:eastAsia="lt-LT"/>
              </w:rPr>
            </w:pPr>
            <w:r>
              <w:rPr>
                <w:sz w:val="22"/>
                <w:szCs w:val="22"/>
                <w:lang w:eastAsia="lt-LT"/>
              </w:rPr>
              <w:t>Metalų halogenų lempos (W ≤ 95)</w:t>
            </w:r>
          </w:p>
        </w:tc>
        <w:tc>
          <w:tcPr>
            <w:tcW w:w="3289" w:type="dxa"/>
          </w:tcPr>
          <w:p>
            <w:pPr>
              <w:suppressAutoHyphens/>
              <w:jc w:val="center"/>
              <w:rPr>
                <w:sz w:val="22"/>
                <w:szCs w:val="22"/>
                <w:lang w:eastAsia="lt-LT"/>
              </w:rPr>
            </w:pPr>
            <w:r>
              <w:rPr>
                <w:sz w:val="22"/>
                <w:szCs w:val="22"/>
                <w:lang w:eastAsia="lt-LT"/>
              </w:rPr>
              <w:t>5</w:t>
            </w:r>
          </w:p>
        </w:tc>
      </w:tr>
      <w:tr>
        <w:trPr>
          <w:trHeight w:val="277"/>
        </w:trPr>
        <w:tc>
          <w:tcPr>
            <w:tcW w:w="675" w:type="dxa"/>
          </w:tcPr>
          <w:p>
            <w:pPr>
              <w:suppressAutoHyphens/>
              <w:jc w:val="center"/>
              <w:rPr>
                <w:sz w:val="22"/>
                <w:szCs w:val="22"/>
                <w:lang w:eastAsia="lt-LT"/>
              </w:rPr>
            </w:pPr>
            <w:r>
              <w:rPr>
                <w:sz w:val="22"/>
                <w:szCs w:val="22"/>
                <w:lang w:eastAsia="lt-LT"/>
              </w:rPr>
              <w:t>5.</w:t>
            </w:r>
          </w:p>
        </w:tc>
        <w:tc>
          <w:tcPr>
            <w:tcW w:w="4995" w:type="dxa"/>
          </w:tcPr>
          <w:p>
            <w:pPr>
              <w:suppressAutoHyphens/>
              <w:rPr>
                <w:sz w:val="22"/>
                <w:szCs w:val="22"/>
                <w:lang w:eastAsia="lt-LT"/>
              </w:rPr>
            </w:pPr>
            <w:r>
              <w:rPr>
                <w:sz w:val="22"/>
                <w:szCs w:val="22"/>
                <w:lang w:eastAsia="lt-LT"/>
              </w:rPr>
              <w:t>Metalų halogenų lempos (95 &lt; W ≤ 245)</w:t>
            </w:r>
          </w:p>
        </w:tc>
        <w:tc>
          <w:tcPr>
            <w:tcW w:w="3289" w:type="dxa"/>
          </w:tcPr>
          <w:p>
            <w:pPr>
              <w:suppressAutoHyphens/>
              <w:jc w:val="center"/>
              <w:rPr>
                <w:sz w:val="22"/>
                <w:szCs w:val="22"/>
                <w:lang w:eastAsia="lt-LT"/>
              </w:rPr>
            </w:pPr>
            <w:r>
              <w:rPr>
                <w:sz w:val="22"/>
                <w:szCs w:val="22"/>
                <w:lang w:eastAsia="lt-LT"/>
              </w:rPr>
              <w:t>15</w:t>
            </w:r>
          </w:p>
        </w:tc>
      </w:tr>
      <w:tr>
        <w:trPr>
          <w:trHeight w:val="293"/>
        </w:trPr>
        <w:tc>
          <w:tcPr>
            <w:tcW w:w="675" w:type="dxa"/>
          </w:tcPr>
          <w:p>
            <w:pPr>
              <w:suppressAutoHyphens/>
              <w:jc w:val="center"/>
              <w:rPr>
                <w:sz w:val="22"/>
                <w:szCs w:val="22"/>
                <w:lang w:eastAsia="lt-LT"/>
              </w:rPr>
            </w:pPr>
            <w:r>
              <w:rPr>
                <w:sz w:val="22"/>
                <w:szCs w:val="22"/>
                <w:lang w:eastAsia="lt-LT"/>
              </w:rPr>
              <w:t>6.</w:t>
            </w:r>
          </w:p>
        </w:tc>
        <w:tc>
          <w:tcPr>
            <w:tcW w:w="4995" w:type="dxa"/>
          </w:tcPr>
          <w:p>
            <w:pPr>
              <w:suppressAutoHyphens/>
              <w:rPr>
                <w:sz w:val="22"/>
                <w:szCs w:val="22"/>
                <w:lang w:eastAsia="lt-LT"/>
              </w:rPr>
            </w:pPr>
            <w:r>
              <w:rPr>
                <w:sz w:val="22"/>
                <w:szCs w:val="22"/>
                <w:lang w:eastAsia="lt-LT"/>
              </w:rPr>
              <w:t>Metalų halogenų lempos (W &gt; 245)</w:t>
            </w:r>
          </w:p>
        </w:tc>
        <w:tc>
          <w:tcPr>
            <w:tcW w:w="3289" w:type="dxa"/>
          </w:tcPr>
          <w:p>
            <w:pPr>
              <w:suppressAutoHyphens/>
              <w:jc w:val="center"/>
              <w:rPr>
                <w:sz w:val="22"/>
                <w:szCs w:val="22"/>
                <w:lang w:eastAsia="lt-LT"/>
              </w:rPr>
            </w:pPr>
            <w:r>
              <w:rPr>
                <w:sz w:val="22"/>
                <w:szCs w:val="22"/>
                <w:lang w:eastAsia="lt-LT"/>
              </w:rPr>
              <w:t>30</w:t>
            </w:r>
          </w:p>
        </w:tc>
      </w:tr>
    </w:tbl>
    <w:p>
      <w:pPr>
        <w:suppressAutoHyphens/>
        <w:rPr>
          <w:lang w:eastAsia="lt-LT"/>
        </w:rPr>
      </w:pPr>
    </w:p>
    <w:p>
      <w:pPr>
        <w:suppressAutoHyphens/>
        <w:ind w:firstLine="851"/>
        <w:jc w:val="both"/>
        <w:rPr>
          <w:lang w:eastAsia="lt-LT"/>
        </w:rPr>
      </w:pPr>
      <w:r>
        <w:rPr>
          <w:lang w:eastAsia="lt-LT"/>
        </w:rPr>
        <w:t>28.2.7</w:t>
      </w:r>
      <w:r>
        <w:rPr>
          <w:lang w:eastAsia="lt-LT"/>
        </w:rPr>
        <w:t>. mažiausias didelio intensyvumo išlydžio lempų balastinių įtaisų veiksmingumas turi atitikti:</w:t>
      </w:r>
    </w:p>
    <w:tbl>
      <w:tblPr>
        <w:tblW w:w="895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60"/>
        <w:gridCol w:w="4990"/>
      </w:tblGrid>
      <w:tr>
        <w:tc>
          <w:tcPr>
            <w:tcW w:w="709" w:type="dxa"/>
          </w:tcPr>
          <w:p>
            <w:pPr>
              <w:suppressAutoHyphens/>
              <w:jc w:val="center"/>
              <w:rPr>
                <w:sz w:val="22"/>
                <w:szCs w:val="22"/>
                <w:lang w:eastAsia="lt-LT"/>
              </w:rPr>
            </w:pPr>
            <w:r>
              <w:rPr>
                <w:sz w:val="22"/>
                <w:szCs w:val="22"/>
                <w:lang w:eastAsia="lt-LT"/>
              </w:rPr>
              <w:t>Nr.</w:t>
            </w:r>
          </w:p>
        </w:tc>
        <w:tc>
          <w:tcPr>
            <w:tcW w:w="3260" w:type="dxa"/>
          </w:tcPr>
          <w:p>
            <w:pPr>
              <w:suppressAutoHyphens/>
              <w:jc w:val="center"/>
              <w:rPr>
                <w:sz w:val="22"/>
                <w:szCs w:val="22"/>
                <w:lang w:eastAsia="lt-LT"/>
              </w:rPr>
            </w:pPr>
            <w:r>
              <w:rPr>
                <w:sz w:val="22"/>
                <w:szCs w:val="22"/>
                <w:lang w:eastAsia="lt-LT"/>
              </w:rPr>
              <w:t>Nominalioji lempos galia, W</w:t>
            </w:r>
          </w:p>
        </w:tc>
        <w:tc>
          <w:tcPr>
            <w:tcW w:w="4990" w:type="dxa"/>
          </w:tcPr>
          <w:p>
            <w:pPr>
              <w:suppressAutoHyphens/>
              <w:jc w:val="center"/>
              <w:rPr>
                <w:sz w:val="22"/>
                <w:szCs w:val="22"/>
                <w:lang w:eastAsia="lt-LT"/>
              </w:rPr>
            </w:pPr>
            <w:r>
              <w:rPr>
                <w:sz w:val="22"/>
                <w:szCs w:val="22"/>
                <w:lang w:eastAsia="lt-LT"/>
              </w:rPr>
              <w:t xml:space="preserve">Mažiausias balastinio įtaiso </w:t>
            </w:r>
          </w:p>
          <w:p>
            <w:pPr>
              <w:suppressAutoHyphens/>
              <w:jc w:val="center"/>
              <w:rPr>
                <w:sz w:val="22"/>
                <w:szCs w:val="22"/>
                <w:lang w:eastAsia="lt-LT"/>
              </w:rPr>
            </w:pPr>
            <w:r>
              <w:rPr>
                <w:sz w:val="22"/>
                <w:szCs w:val="22"/>
                <w:lang w:eastAsia="lt-LT"/>
              </w:rPr>
              <w:t xml:space="preserve">veiksmingumas, ƞ </w:t>
            </w:r>
            <w:r>
              <w:rPr>
                <w:sz w:val="22"/>
                <w:szCs w:val="22"/>
                <w:vertAlign w:val="subscript"/>
                <w:lang w:eastAsia="lt-LT"/>
              </w:rPr>
              <w:t>balastinio įtaiso,</w:t>
            </w:r>
            <w:r>
              <w:rPr>
                <w:sz w:val="22"/>
                <w:szCs w:val="22"/>
                <w:lang w:eastAsia="lt-LT"/>
              </w:rPr>
              <w:t xml:space="preserve"> proc.</w:t>
            </w:r>
          </w:p>
        </w:tc>
      </w:tr>
      <w:tr>
        <w:tc>
          <w:tcPr>
            <w:tcW w:w="709" w:type="dxa"/>
          </w:tcPr>
          <w:p>
            <w:pPr>
              <w:suppressAutoHyphens/>
              <w:jc w:val="center"/>
              <w:rPr>
                <w:sz w:val="22"/>
                <w:szCs w:val="22"/>
                <w:lang w:eastAsia="lt-LT"/>
              </w:rPr>
            </w:pPr>
            <w:r>
              <w:rPr>
                <w:sz w:val="22"/>
                <w:szCs w:val="22"/>
                <w:lang w:eastAsia="lt-LT"/>
              </w:rPr>
              <w:t>1.</w:t>
            </w:r>
          </w:p>
        </w:tc>
        <w:tc>
          <w:tcPr>
            <w:tcW w:w="3260" w:type="dxa"/>
          </w:tcPr>
          <w:p>
            <w:pPr>
              <w:suppressAutoHyphens/>
              <w:rPr>
                <w:sz w:val="22"/>
                <w:szCs w:val="22"/>
                <w:lang w:eastAsia="lt-LT"/>
              </w:rPr>
            </w:pPr>
            <w:r>
              <w:rPr>
                <w:sz w:val="22"/>
                <w:szCs w:val="22"/>
                <w:lang w:eastAsia="lt-LT"/>
              </w:rPr>
              <w:t>W ≤ 100</w:t>
            </w:r>
          </w:p>
        </w:tc>
        <w:tc>
          <w:tcPr>
            <w:tcW w:w="4990" w:type="dxa"/>
          </w:tcPr>
          <w:p>
            <w:pPr>
              <w:suppressAutoHyphens/>
              <w:jc w:val="center"/>
              <w:rPr>
                <w:sz w:val="22"/>
                <w:szCs w:val="22"/>
                <w:lang w:eastAsia="lt-LT"/>
              </w:rPr>
            </w:pPr>
            <w:r>
              <w:rPr>
                <w:sz w:val="22"/>
                <w:szCs w:val="22"/>
                <w:lang w:eastAsia="lt-LT"/>
              </w:rPr>
              <w:t>85</w:t>
            </w:r>
          </w:p>
        </w:tc>
      </w:tr>
      <w:tr>
        <w:tc>
          <w:tcPr>
            <w:tcW w:w="709" w:type="dxa"/>
          </w:tcPr>
          <w:p>
            <w:pPr>
              <w:suppressAutoHyphens/>
              <w:jc w:val="center"/>
              <w:rPr>
                <w:sz w:val="22"/>
                <w:szCs w:val="22"/>
                <w:lang w:eastAsia="lt-LT"/>
              </w:rPr>
            </w:pPr>
            <w:r>
              <w:rPr>
                <w:sz w:val="22"/>
                <w:szCs w:val="22"/>
                <w:lang w:eastAsia="lt-LT"/>
              </w:rPr>
              <w:t>2.</w:t>
            </w:r>
          </w:p>
        </w:tc>
        <w:tc>
          <w:tcPr>
            <w:tcW w:w="3260" w:type="dxa"/>
          </w:tcPr>
          <w:p>
            <w:pPr>
              <w:suppressAutoHyphens/>
              <w:rPr>
                <w:sz w:val="22"/>
                <w:szCs w:val="22"/>
                <w:lang w:eastAsia="lt-LT"/>
              </w:rPr>
            </w:pPr>
            <w:r>
              <w:rPr>
                <w:sz w:val="22"/>
                <w:szCs w:val="22"/>
                <w:lang w:eastAsia="lt-LT"/>
              </w:rPr>
              <w:t xml:space="preserve">100 &lt; W </w:t>
            </w:r>
          </w:p>
        </w:tc>
        <w:tc>
          <w:tcPr>
            <w:tcW w:w="4990" w:type="dxa"/>
          </w:tcPr>
          <w:p>
            <w:pPr>
              <w:suppressAutoHyphens/>
              <w:jc w:val="center"/>
              <w:rPr>
                <w:sz w:val="22"/>
                <w:szCs w:val="22"/>
                <w:lang w:eastAsia="lt-LT"/>
              </w:rPr>
            </w:pPr>
            <w:r>
              <w:rPr>
                <w:sz w:val="22"/>
                <w:szCs w:val="22"/>
                <w:lang w:eastAsia="lt-LT"/>
              </w:rPr>
              <w:t>92</w:t>
            </w:r>
          </w:p>
        </w:tc>
      </w:tr>
    </w:tbl>
    <w:p>
      <w:pPr>
        <w:suppressAutoHyphens/>
        <w:ind w:firstLine="851"/>
        <w:jc w:val="both"/>
        <w:rPr>
          <w:szCs w:val="24"/>
          <w:lang w:eastAsia="lt-LT"/>
        </w:rPr>
      </w:pPr>
    </w:p>
    <w:p>
      <w:pPr>
        <w:ind w:firstLine="851"/>
        <w:jc w:val="both"/>
        <w:rPr>
          <w:szCs w:val="24"/>
        </w:rPr>
      </w:pPr>
      <w:r>
        <w:rPr>
          <w:szCs w:val="24"/>
        </w:rPr>
        <w:t>29</w:t>
      </w:r>
      <w:r>
        <w:rPr>
          <w:szCs w:val="24"/>
        </w:rPr>
        <w:t xml:space="preserve">. Kelių eismo signalai: kelių eismo signalai ir šviesoforai turi būti 100 proc. (vienetais) LED (angl. </w:t>
      </w:r>
      <w:r>
        <w:rPr>
          <w:i/>
          <w:iCs/>
          <w:szCs w:val="24"/>
        </w:rPr>
        <w:t>Light Emitting Diode</w:t>
      </w:r>
      <w:r>
        <w:rPr>
          <w:szCs w:val="24"/>
        </w:rPr>
        <w:t xml:space="preserve"> – šviesą skleidžiantis diodas).</w:t>
      </w:r>
    </w:p>
    <w:p>
      <w:pPr>
        <w:ind w:firstLine="851"/>
        <w:jc w:val="both"/>
        <w:rPr>
          <w:szCs w:val="24"/>
        </w:rPr>
      </w:pPr>
    </w:p>
    <w:p>
      <w:pPr>
        <w:suppressAutoHyphens/>
        <w:jc w:val="center"/>
        <w:rPr>
          <w:b/>
          <w:szCs w:val="24"/>
          <w:lang w:eastAsia="en-GB"/>
        </w:rPr>
      </w:pPr>
      <w:r>
        <w:rPr>
          <w:b/>
          <w:szCs w:val="24"/>
          <w:lang w:eastAsia="en-GB"/>
        </w:rPr>
        <w:t>XVIII</w:t>
      </w:r>
      <w:r>
        <w:rPr>
          <w:b/>
          <w:szCs w:val="24"/>
          <w:lang w:eastAsia="en-GB"/>
        </w:rPr>
        <w:t xml:space="preserve"> SKYRIUS</w:t>
      </w:r>
    </w:p>
    <w:p>
      <w:pPr>
        <w:suppressAutoHyphens/>
        <w:jc w:val="center"/>
        <w:rPr>
          <w:b/>
          <w:szCs w:val="24"/>
          <w:lang w:eastAsia="en-GB"/>
        </w:rPr>
      </w:pPr>
      <w:r>
        <w:rPr>
          <w:b/>
          <w:szCs w:val="24"/>
          <w:lang w:eastAsia="en-GB"/>
        </w:rPr>
        <w:t>ELEKTRA</w:t>
      </w:r>
    </w:p>
    <w:p>
      <w:pPr>
        <w:suppressAutoHyphens/>
        <w:ind w:firstLine="851"/>
        <w:jc w:val="both"/>
        <w:rPr>
          <w:bCs/>
          <w:szCs w:val="24"/>
          <w:lang w:eastAsia="en-GB"/>
        </w:rPr>
      </w:pPr>
    </w:p>
    <w:p>
      <w:pPr>
        <w:suppressAutoHyphens/>
        <w:ind w:firstLine="851"/>
        <w:jc w:val="both"/>
        <w:rPr>
          <w:bCs/>
          <w:szCs w:val="24"/>
          <w:lang w:eastAsia="en-GB"/>
        </w:rPr>
      </w:pPr>
      <w:r>
        <w:rPr>
          <w:bCs/>
          <w:szCs w:val="24"/>
          <w:lang w:eastAsia="en-GB"/>
        </w:rPr>
        <w:t>30</w:t>
      </w:r>
      <w:r>
        <w:rPr>
          <w:bCs/>
          <w:szCs w:val="24"/>
          <w:lang w:eastAsia="en-GB"/>
        </w:rPr>
        <w:t>. Elektra:</w:t>
      </w:r>
      <w:r>
        <w:rPr>
          <w:b/>
          <w:szCs w:val="24"/>
          <w:lang w:eastAsia="en-GB"/>
        </w:rPr>
        <w:t xml:space="preserve"> </w:t>
      </w:r>
      <w:r>
        <w:rPr>
          <w:bCs/>
          <w:szCs w:val="24"/>
          <w:lang w:eastAsia="en-GB"/>
        </w:rPr>
        <w:t xml:space="preserve">Elektra pagaminta iš atsinaujinančių energijos išteklių. </w:t>
      </w:r>
    </w:p>
    <w:p>
      <w:pPr>
        <w:suppressAutoHyphens/>
        <w:ind w:firstLine="851"/>
        <w:jc w:val="both"/>
        <w:rPr>
          <w:b/>
          <w:szCs w:val="24"/>
          <w:lang w:eastAsia="en-GB"/>
        </w:rPr>
      </w:pPr>
    </w:p>
    <w:p>
      <w:pPr>
        <w:suppressAutoHyphens/>
        <w:jc w:val="center"/>
        <w:rPr>
          <w:b/>
          <w:bCs/>
          <w:szCs w:val="24"/>
        </w:rPr>
      </w:pPr>
      <w:r>
        <w:rPr>
          <w:b/>
          <w:bCs/>
          <w:szCs w:val="24"/>
        </w:rPr>
        <w:t>XIX</w:t>
      </w:r>
      <w:r>
        <w:rPr>
          <w:b/>
          <w:bCs/>
          <w:szCs w:val="24"/>
        </w:rPr>
        <w:t xml:space="preserve"> SKYRIUS</w:t>
      </w:r>
    </w:p>
    <w:p>
      <w:pPr>
        <w:suppressAutoHyphens/>
        <w:jc w:val="center"/>
        <w:rPr>
          <w:b/>
          <w:bCs/>
          <w:szCs w:val="24"/>
        </w:rPr>
      </w:pPr>
      <w:r>
        <w:rPr>
          <w:b/>
          <w:bCs/>
          <w:szCs w:val="24"/>
        </w:rPr>
        <w:t>KURAS IR DEGALAI</w:t>
      </w:r>
    </w:p>
    <w:p>
      <w:pPr>
        <w:suppressAutoHyphens/>
        <w:jc w:val="center"/>
        <w:rPr>
          <w:szCs w:val="24"/>
        </w:rPr>
      </w:pPr>
    </w:p>
    <w:p>
      <w:pPr>
        <w:suppressAutoHyphens/>
        <w:ind w:firstLine="851"/>
        <w:jc w:val="both"/>
        <w:rPr>
          <w:szCs w:val="24"/>
          <w:lang w:val="lt" w:eastAsia="lt-LT"/>
        </w:rPr>
      </w:pPr>
      <w:r>
        <w:rPr>
          <w:szCs w:val="24"/>
          <w:lang w:val="lt" w:eastAsia="lt-LT"/>
        </w:rPr>
        <w:t>31</w:t>
      </w:r>
      <w:r>
        <w:rPr>
          <w:szCs w:val="24"/>
          <w:lang w:val="lt" w:eastAsia="lt-LT"/>
        </w:rPr>
        <w:t>. Kuras (išskyrus gamtines dujas ir šildymui ar maisto ruošai naudojamas suskystintas naftos dujas): įsigyjamas biomasės kuras (įskaitant biodujas, biokurą, biometaną, b</w:t>
      </w:r>
      <w:r>
        <w:rPr>
          <w:color w:val="000000"/>
          <w:kern w:val="2"/>
          <w:szCs w:val="24"/>
          <w:lang w:val="lt"/>
          <w14:ligatures w14:val="standardContextual"/>
        </w:rPr>
        <w:t>iotepalus ir bioalyvas</w:t>
      </w:r>
      <w:r>
        <w:rPr>
          <w:szCs w:val="24"/>
          <w:lang w:val="lt" w:eastAsia="lt-LT"/>
        </w:rPr>
        <w:t>) arba i</w:t>
      </w:r>
      <w:r>
        <w:rPr>
          <w:kern w:val="2"/>
          <w:szCs w:val="24"/>
          <w:lang w:val="lt" w:eastAsia="lt-LT"/>
          <w14:ligatures w14:val="standardContextual"/>
        </w:rPr>
        <w:t>š atsinaujinančių išteklių pagaminti nebiologiniai skystieji ir dujiniai degalai, kaip apibrėžta Lietuvos Respublikos atsinaujinančių išteklių energetikos įstatyme.</w:t>
      </w:r>
    </w:p>
    <w:p>
      <w:pPr>
        <w:suppressAutoHyphens/>
        <w:ind w:firstLine="851"/>
        <w:jc w:val="both"/>
      </w:pPr>
      <w:r>
        <w:rPr>
          <w:szCs w:val="24"/>
          <w:lang w:val="lt" w:eastAsia="lt-LT"/>
        </w:rPr>
        <w:t>32</w:t>
      </w:r>
      <w:r>
        <w:rPr>
          <w:szCs w:val="24"/>
          <w:lang w:val="lt" w:eastAsia="lt-LT"/>
        </w:rPr>
        <w:t>. Degalai: įsigyjami degalai iš atsinaujinančių energijos išteklių, kaip apibrėžta Alternatyviųjų degalų įstatyme.</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skyriumi: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8c92560b46f11eea5a28c81c82193a8">
        <w:r w:rsidRPr="00532B9F">
          <w:rPr>
            <w:rFonts w:ascii="Times New Roman" w:eastAsia="MS Mincho" w:hAnsi="Times New Roman"/>
            <w:sz w:val="20"/>
            <w:i/>
            <w:iCs/>
            <w:color w:val="0000FF" w:themeColor="hyperlink"/>
            <w:u w:val="single"/>
          </w:rPr>
          <w:t>D1-17</w:t>
        </w:r>
      </w:fldSimple>
      <w:r>
        <w:rPr>
          <w:rFonts w:ascii="Times New Roman" w:eastAsia="MS Mincho" w:hAnsi="Times New Roman"/>
          <w:sz w:val="20"/>
          <w:i/>
          <w:iCs/>
        </w:rPr>
        <w:t>,
2024-01-16,
paskelbta TAR 2024-01-16, i. k. 2024-00619        </w:t>
      </w:r>
    </w:p>
    <w:p/>
    <w:p>
      <w:pPr>
        <w:jc w:val="center"/>
        <w:rPr>
          <w:b/>
          <w:bCs/>
          <w:color w:val="000000"/>
          <w:szCs w:val="24"/>
          <w:lang w:eastAsia="lt-LT"/>
        </w:rPr>
      </w:pPr>
      <w:r>
        <w:rPr>
          <w:b/>
          <w:bCs/>
          <w:color w:val="000000"/>
          <w:szCs w:val="24"/>
          <w:lang w:eastAsia="lt-LT"/>
        </w:rPr>
        <w:t>XX</w:t>
      </w:r>
      <w:r>
        <w:rPr>
          <w:b/>
          <w:bCs/>
          <w:color w:val="000000"/>
          <w:szCs w:val="24"/>
          <w:lang w:eastAsia="lt-LT"/>
        </w:rPr>
        <w:t xml:space="preserve"> SKYRIUS</w:t>
      </w:r>
    </w:p>
    <w:p>
      <w:pPr>
        <w:jc w:val="center"/>
        <w:rPr>
          <w:b/>
          <w:bCs/>
          <w:color w:val="000000"/>
          <w:szCs w:val="24"/>
          <w:lang w:eastAsia="lt-LT"/>
        </w:rPr>
      </w:pPr>
      <w:r>
        <w:rPr>
          <w:b/>
          <w:bCs/>
          <w:color w:val="000000"/>
          <w:szCs w:val="24"/>
          <w:lang w:eastAsia="lt-LT"/>
        </w:rPr>
        <w:t>PADANGOS</w:t>
      </w:r>
    </w:p>
    <w:p>
      <w:pPr>
        <w:ind w:firstLine="851"/>
        <w:jc w:val="both"/>
        <w:rPr>
          <w:color w:val="000000"/>
          <w:szCs w:val="24"/>
          <w:lang w:eastAsia="lt-LT"/>
        </w:rPr>
      </w:pPr>
      <w:r>
        <w:rPr>
          <w:color w:val="000000"/>
          <w:szCs w:val="24"/>
          <w:lang w:eastAsia="lt-LT"/>
        </w:rPr>
        <w:t>33</w:t>
      </w:r>
      <w:r>
        <w:rPr>
          <w:color w:val="000000"/>
          <w:szCs w:val="24"/>
          <w:lang w:eastAsia="lt-LT"/>
        </w:rPr>
        <w:t>. Padangos: prekės, įtrauktos į Lietuvos Respublikos energetikos ministro 2015 m. birželio 18 d. įsakymu Nr. 1-154 „Dėl Prekių, išskyrus kelių transporto priemones, kurioms viešųjų pirkimų metu taikomi energijos vartojimo efektyvumo reikalavimai, sąrašo patvirtinimo“ patvirtintą Prekių, išskyrus kelių transporto priemones, kurioms viešųjų pirkimų metu taikomi energijos vartojimo efektyvumo reikalavimai, sąrašą, turi atitikti aukščiausią degalų naudojimo efektyvumo klasę (prieinamą Lietuvos Respublikos rinkoje), nustatytą Europos Komisijos reglamentuose dėl gaminių energijos vartojimo efektyvumo ženklinimo reikalavimų.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tc>
          <w:tcPr>
            <w:tcW w:w="9628" w:type="dxa"/>
          </w:tcPr>
          <w:p>
            <w:pPr>
              <w:jc w:val="both"/>
              <w:rPr>
                <w:color w:val="000000"/>
                <w:szCs w:val="24"/>
                <w:lang w:eastAsia="lt-LT"/>
              </w:rPr>
            </w:pPr>
            <w:r>
              <w:rPr>
                <w:color w:val="000000"/>
                <w:szCs w:val="24"/>
                <w:lang w:eastAsia="lt-LT"/>
              </w:rPr>
              <w:t>Pastaba. Pirkimo vykdytojas, norėdamas įvykdyti žaliąjį pirkimą, gali neįsigyti padangų, atitinkančių aukščiausią degalų naudojimo efektyvumo klasę (prieinamą Lietuvos Respublikos rinkoje), jei yra pagrįstas poreikis dėl saugos ar visuomenės sveikatos reikalavimų įsigyti aukščiausios sukibimo su šlapia danga klasės arba išorinio riedėjimo triukšmo klasės padangų.</w:t>
            </w:r>
          </w:p>
        </w:tc>
      </w:tr>
    </w:tbl>
    <w:p>
      <w:pPr>
        <w:rPr>
          <w:b/>
          <w:szCs w:val="24"/>
          <w:lang w:eastAsia="en-GB"/>
        </w:rPr>
      </w:pPr>
    </w:p>
    <w:p>
      <w:pPr>
        <w:pStyle w:val="PlainText"/>
        <w:rPr>
          <w:rFonts w:ascii="Times New Roman" w:eastAsia="MS Mincho" w:hAnsi="Times New Roman"/>
          <w:sz w:val="20"/>
          <w:i/>
          <w:iCs/>
        </w:rPr>
      </w:pPr>
      <w:r>
        <w:rPr>
          <w:rFonts w:ascii="Times New Roman" w:eastAsia="MS Mincho" w:hAnsi="Times New Roman"/>
          <w:sz w:val="20"/>
          <w:i/>
          <w:iCs/>
        </w:rPr>
        <w:t>Papildyta skyriumi: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92cde9195f411efa605b9842742bf37">
        <w:r w:rsidRPr="00532B9F">
          <w:rPr>
            <w:rFonts w:ascii="Times New Roman" w:eastAsia="MS Mincho" w:hAnsi="Times New Roman"/>
            <w:sz w:val="20"/>
            <w:i/>
            <w:iCs/>
            <w:color w:val="0000FF" w:themeColor="hyperlink"/>
            <w:u w:val="single"/>
          </w:rPr>
          <w:t>D1-367</w:t>
        </w:r>
      </w:fldSimple>
      <w:r>
        <w:rPr>
          <w:rFonts w:ascii="Times New Roman" w:eastAsia="MS Mincho" w:hAnsi="Times New Roman"/>
          <w:sz w:val="20"/>
          <w:i/>
          <w:iCs/>
        </w:rPr>
        <w:t>,
2024-10-29,
paskelbta TAR 2024-10-29, i. k. 2024-18741        </w:t>
      </w:r>
    </w:p>
    <w:p/>
    <w:p>
      <w:pPr>
        <w:jc w:val="center"/>
      </w:pPr>
      <w:r>
        <w:rPr>
          <w:szCs w:val="24"/>
        </w:rPr>
        <w:t>______________________</w:t>
      </w:r>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Lietuvos Respublikos aplinkos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TAR.0F1F919613C9">
        <w:r w:rsidRPr="00532B9F">
          <w:rPr>
            <w:rFonts w:ascii="Times New Roman" w:eastAsia="MS Mincho" w:hAnsi="Times New Roman"/>
            <w:sz w:val="20"/>
            <w:iCs/>
            <w:color w:val="0000FF" w:themeColor="hyperlink"/>
            <w:u w:val="single"/>
          </w:rPr>
          <w:t>D1-797</w:t>
        </w:r>
      </w:fldSimple>
      <w:r>
        <w:rPr>
          <w:rFonts w:ascii="Times New Roman" w:eastAsia="MS Mincho" w:hAnsi="Times New Roman"/>
          <w:sz w:val="20"/>
          <w:iCs/>
        </w:rPr>
        <w:t>,
2012-10-01,
Žin., 2012, Nr.
118-5957 (2012-10-11), i. k. 112301MISAK00D1-797                </w:t>
      </w:r>
    </w:p>
    <w:p>
      <w:pPr>
        <w:jc w:val="both"/>
        <w:rPr>
          <w:rFonts w:ascii="Times New Roman" w:hAnsi="Times New Roman"/>
        </w:rPr>
      </w:pPr>
      <w:r>
        <w:rPr>
          <w:rFonts w:ascii="Times New Roman" w:hAnsi="Times New Roman"/>
          <w:sz w:val="20"/>
        </w:rPr>
        <w:t>Dėl Lietuvos Respublikos aplinkos ministro 2011 m. birželio 28 d. įsakymo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Lietuvos Respublikos aplinkos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TAR.12620E4D8F15">
        <w:r w:rsidRPr="00532B9F">
          <w:rPr>
            <w:rFonts w:ascii="Times New Roman" w:eastAsia="MS Mincho" w:hAnsi="Times New Roman"/>
            <w:sz w:val="20"/>
            <w:iCs/>
            <w:color w:val="0000FF" w:themeColor="hyperlink"/>
            <w:u w:val="single"/>
          </w:rPr>
          <w:t>D1-925</w:t>
        </w:r>
      </w:fldSimple>
      <w:r>
        <w:rPr>
          <w:rFonts w:ascii="Times New Roman" w:eastAsia="MS Mincho" w:hAnsi="Times New Roman"/>
          <w:sz w:val="20"/>
          <w:iCs/>
        </w:rPr>
        <w:t>,
2012-11-14,
Žin., 2012, Nr.
134-6842 (2012-11-20), i. k. 112301MISAK00D1-925                </w:t>
      </w:r>
    </w:p>
    <w:p>
      <w:pPr>
        <w:jc w:val="both"/>
        <w:rPr>
          <w:rFonts w:ascii="Times New Roman" w:hAnsi="Times New Roman"/>
        </w:rPr>
      </w:pPr>
      <w:r>
        <w:rPr>
          <w:rFonts w:ascii="Times New Roman" w:hAnsi="Times New Roman"/>
          <w:sz w:val="20"/>
        </w:rPr>
        <w:t>Dėl Lietuvos Respublikos aplinkos ministro 2011 m. birželio 28 d. įsakymo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3.</w:t>
      </w:r>
    </w:p>
    <w:p>
      <w:pPr>
        <w:jc w:val="both"/>
        <w:rPr>
          <w:rFonts w:ascii="Times New Roman" w:hAnsi="Times New Roman"/>
        </w:rPr>
      </w:pPr>
      <w:r>
        <w:rPr>
          <w:rFonts w:ascii="Times New Roman" w:hAnsi="Times New Roman"/>
          <w:sz w:val="20"/>
        </w:rPr>
        <w:t>
                    Lietuvos Respublikos aplinkos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aef81e00fc7b11e39cfacd978b6fd9bb">
        <w:r w:rsidRPr="00532B9F">
          <w:rPr>
            <w:rFonts w:ascii="Times New Roman" w:eastAsia="MS Mincho" w:hAnsi="Times New Roman"/>
            <w:sz w:val="20"/>
            <w:iCs/>
            <w:color w:val="0000FF" w:themeColor="hyperlink"/>
            <w:u w:val="single"/>
          </w:rPr>
          <w:t>D1-556</w:t>
        </w:r>
      </w:fldSimple>
      <w:r>
        <w:rPr>
          <w:rFonts w:ascii="Times New Roman" w:eastAsia="MS Mincho" w:hAnsi="Times New Roman"/>
          <w:sz w:val="20"/>
          <w:iCs/>
        </w:rPr>
        <w:t>,
2014-06-25,
paskelbta TAR 2014-06-26, i. k. 2014-09170                </w:t>
      </w:r>
    </w:p>
    <w:p>
      <w:pPr>
        <w:jc w:val="both"/>
        <w:rPr>
          <w:rFonts w:ascii="Times New Roman" w:hAnsi="Times New Roman"/>
        </w:rPr>
      </w:pPr>
      <w:r>
        <w:rPr>
          <w:rFonts w:ascii="Times New Roman" w:hAnsi="Times New Roman"/>
          <w:sz w:val="20"/>
        </w:rPr>
        <w:t>Dėl Lietuvos Respublikos aplinkos ministro 2011 m. birželio 28 d. įsakymo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4.</w:t>
      </w:r>
    </w:p>
    <w:p>
      <w:pPr>
        <w:jc w:val="both"/>
        <w:rPr>
          <w:rFonts w:ascii="Times New Roman" w:hAnsi="Times New Roman"/>
        </w:rPr>
      </w:pPr>
      <w:r>
        <w:rPr>
          <w:rFonts w:ascii="Times New Roman" w:hAnsi="Times New Roman"/>
          <w:sz w:val="20"/>
        </w:rPr>
        <w:t>
                    Lietuvos Respublikos aplinkos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0d015cd0df1111e68503b67e3b82e8bd">
        <w:r w:rsidRPr="00532B9F">
          <w:rPr>
            <w:rFonts w:ascii="Times New Roman" w:eastAsia="MS Mincho" w:hAnsi="Times New Roman"/>
            <w:sz w:val="20"/>
            <w:iCs/>
            <w:color w:val="0000FF" w:themeColor="hyperlink"/>
            <w:u w:val="single"/>
          </w:rPr>
          <w:t>D1-60</w:t>
        </w:r>
      </w:fldSimple>
      <w:r>
        <w:rPr>
          <w:rFonts w:ascii="Times New Roman" w:eastAsia="MS Mincho" w:hAnsi="Times New Roman"/>
          <w:sz w:val="20"/>
          <w:iCs/>
        </w:rPr>
        <w:t>,
2017-01-18,
paskelbta TAR 2017-01-20, i. k. 2017-01252                </w:t>
      </w:r>
    </w:p>
    <w:p>
      <w:pPr>
        <w:jc w:val="both"/>
        <w:rPr>
          <w:rFonts w:ascii="Times New Roman" w:hAnsi="Times New Roman"/>
        </w:rPr>
      </w:pPr>
      <w:r>
        <w:rPr>
          <w:rFonts w:ascii="Times New Roman" w:hAnsi="Times New Roman"/>
          <w:sz w:val="20"/>
        </w:rPr>
        <w:t>Dėl Lietuvos Respublikos aplinkos ministro 2011 m. birželio 28 d. įsakymo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5.</w:t>
      </w:r>
    </w:p>
    <w:p>
      <w:pPr>
        <w:jc w:val="both"/>
        <w:rPr>
          <w:rFonts w:ascii="Times New Roman" w:hAnsi="Times New Roman"/>
        </w:rPr>
      </w:pPr>
      <w:r>
        <w:rPr>
          <w:rFonts w:ascii="Times New Roman" w:hAnsi="Times New Roman"/>
          <w:sz w:val="20"/>
        </w:rPr>
        <w:t>
                    Lietuvos Respublikos aplinkos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6f875be088a611e7a3c4a5eb10f04386">
        <w:r w:rsidRPr="00532B9F">
          <w:rPr>
            <w:rFonts w:ascii="Times New Roman" w:eastAsia="MS Mincho" w:hAnsi="Times New Roman"/>
            <w:sz w:val="20"/>
            <w:iCs/>
            <w:color w:val="0000FF" w:themeColor="hyperlink"/>
            <w:u w:val="single"/>
          </w:rPr>
          <w:t>D1-672</w:t>
        </w:r>
      </w:fldSimple>
      <w:r>
        <w:rPr>
          <w:rFonts w:ascii="Times New Roman" w:eastAsia="MS Mincho" w:hAnsi="Times New Roman"/>
          <w:sz w:val="20"/>
          <w:iCs/>
        </w:rPr>
        <w:t>,
2017-08-22,
paskelbta TAR 2017-08-24, i. k. 2017-13607                </w:t>
      </w:r>
    </w:p>
    <w:p>
      <w:pPr>
        <w:jc w:val="both"/>
        <w:rPr>
          <w:rFonts w:ascii="Times New Roman" w:hAnsi="Times New Roman"/>
        </w:rPr>
      </w:pPr>
      <w:r>
        <w:rPr>
          <w:rFonts w:ascii="Times New Roman" w:hAnsi="Times New Roman"/>
          <w:sz w:val="20"/>
        </w:rPr>
        <w:t>Dėl Lietuvos Respublikos aplinkos ministro 2011 m. birželio 28 d. įsakymo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6.</w:t>
      </w:r>
    </w:p>
    <w:p>
      <w:pPr>
        <w:jc w:val="both"/>
        <w:rPr>
          <w:rFonts w:ascii="Times New Roman" w:hAnsi="Times New Roman"/>
        </w:rPr>
      </w:pPr>
      <w:r>
        <w:rPr>
          <w:rFonts w:ascii="Times New Roman" w:hAnsi="Times New Roman"/>
          <w:sz w:val="20"/>
        </w:rPr>
        <w:t>
                    Lietuvos Respublikos aplinkos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602507f091e511eb9fecb5ecd3bd711c">
        <w:r w:rsidRPr="00532B9F">
          <w:rPr>
            <w:rFonts w:ascii="Times New Roman" w:eastAsia="MS Mincho" w:hAnsi="Times New Roman"/>
            <w:sz w:val="20"/>
            <w:iCs/>
            <w:color w:val="0000FF" w:themeColor="hyperlink"/>
            <w:u w:val="single"/>
          </w:rPr>
          <w:t>D1-192</w:t>
        </w:r>
      </w:fldSimple>
      <w:r>
        <w:rPr>
          <w:rFonts w:ascii="Times New Roman" w:eastAsia="MS Mincho" w:hAnsi="Times New Roman"/>
          <w:sz w:val="20"/>
          <w:iCs/>
        </w:rPr>
        <w:t>,
2021-03-31,
paskelbta TAR 2021-03-31, i. k. 2021-06569                </w:t>
      </w:r>
    </w:p>
    <w:p>
      <w:pPr>
        <w:jc w:val="both"/>
        <w:rPr>
          <w:rFonts w:ascii="Times New Roman" w:hAnsi="Times New Roman"/>
        </w:rPr>
      </w:pPr>
      <w:r>
        <w:rPr>
          <w:rFonts w:ascii="Times New Roman" w:hAnsi="Times New Roman"/>
          <w:sz w:val="20"/>
        </w:rPr>
        <w:t>Lietuvos Respublikos aplinkos ministro įsakymas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pirkdamos prekes, paslaugas ar darbus, taikymo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7.</w:t>
      </w:r>
    </w:p>
    <w:p>
      <w:pPr>
        <w:jc w:val="both"/>
        <w:rPr>
          <w:rFonts w:ascii="Times New Roman" w:hAnsi="Times New Roman"/>
        </w:rPr>
      </w:pPr>
      <w:r>
        <w:rPr>
          <w:rFonts w:ascii="Times New Roman" w:hAnsi="Times New Roman"/>
          <w:sz w:val="20"/>
        </w:rPr>
        <w:t>
                    Lietuvos Respublikos aplinkos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32231f7063f611eca9ac839120d251c4">
        <w:r w:rsidRPr="00532B9F">
          <w:rPr>
            <w:rFonts w:ascii="Times New Roman" w:eastAsia="MS Mincho" w:hAnsi="Times New Roman"/>
            <w:sz w:val="20"/>
            <w:iCs/>
            <w:color w:val="0000FF" w:themeColor="hyperlink"/>
            <w:u w:val="single"/>
          </w:rPr>
          <w:t>D1-765</w:t>
        </w:r>
      </w:fldSimple>
      <w:r>
        <w:rPr>
          <w:rFonts w:ascii="Times New Roman" w:eastAsia="MS Mincho" w:hAnsi="Times New Roman"/>
          <w:sz w:val="20"/>
          <w:iCs/>
        </w:rPr>
        <w:t>,
2021-12-23,
paskelbta TAR 2021-12-23, i. k. 2021-26886                </w:t>
      </w:r>
    </w:p>
    <w:p>
      <w:pPr>
        <w:jc w:val="both"/>
        <w:rPr>
          <w:rFonts w:ascii="Times New Roman" w:hAnsi="Times New Roman"/>
        </w:rPr>
      </w:pPr>
      <w:r>
        <w:rPr>
          <w:rFonts w:ascii="Times New Roman" w:hAnsi="Times New Roman"/>
          <w:sz w:val="20"/>
        </w:rPr>
        <w:t>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8.</w:t>
      </w:r>
    </w:p>
    <w:p>
      <w:pPr>
        <w:jc w:val="both"/>
        <w:rPr>
          <w:rFonts w:ascii="Times New Roman" w:hAnsi="Times New Roman"/>
        </w:rPr>
      </w:pPr>
      <w:r>
        <w:rPr>
          <w:rFonts w:ascii="Times New Roman" w:hAnsi="Times New Roman"/>
          <w:sz w:val="20"/>
        </w:rPr>
        <w:t>
                    Lietuvos Respublikos aplinkos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41e131d07ada11edbc04912defe897d1">
        <w:r w:rsidRPr="00532B9F">
          <w:rPr>
            <w:rFonts w:ascii="Times New Roman" w:eastAsia="MS Mincho" w:hAnsi="Times New Roman"/>
            <w:sz w:val="20"/>
            <w:iCs/>
            <w:color w:val="0000FF" w:themeColor="hyperlink"/>
            <w:u w:val="single"/>
          </w:rPr>
          <w:t>D1-401</w:t>
        </w:r>
      </w:fldSimple>
      <w:r>
        <w:rPr>
          <w:rFonts w:ascii="Times New Roman" w:eastAsia="MS Mincho" w:hAnsi="Times New Roman"/>
          <w:sz w:val="20"/>
          <w:iCs/>
        </w:rPr>
        <w:t>,
2022-12-13,
paskelbta TAR 2022-12-13, i. k. 2022-25384                </w:t>
      </w:r>
    </w:p>
    <w:p>
      <w:pPr>
        <w:jc w:val="both"/>
        <w:rPr>
          <w:rFonts w:ascii="Times New Roman" w:hAnsi="Times New Roman"/>
        </w:rPr>
      </w:pPr>
      <w:r>
        <w:rPr>
          <w:rFonts w:ascii="Times New Roman" w:hAnsi="Times New Roman"/>
          <w:sz w:val="20"/>
        </w:rPr>
        <w:t>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9.</w:t>
      </w:r>
    </w:p>
    <w:p>
      <w:pPr>
        <w:jc w:val="both"/>
        <w:rPr>
          <w:rFonts w:ascii="Times New Roman" w:hAnsi="Times New Roman"/>
        </w:rPr>
      </w:pPr>
      <w:r>
        <w:rPr>
          <w:rFonts w:ascii="Times New Roman" w:hAnsi="Times New Roman"/>
          <w:sz w:val="20"/>
        </w:rPr>
        <w:t>
                    Lietuvos Respublikos aplinkos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38c92560b46f11eea5a28c81c82193a8">
        <w:r w:rsidRPr="00532B9F">
          <w:rPr>
            <w:rFonts w:ascii="Times New Roman" w:eastAsia="MS Mincho" w:hAnsi="Times New Roman"/>
            <w:sz w:val="20"/>
            <w:iCs/>
            <w:color w:val="0000FF" w:themeColor="hyperlink"/>
            <w:u w:val="single"/>
          </w:rPr>
          <w:t>D1-17</w:t>
        </w:r>
      </w:fldSimple>
      <w:r>
        <w:rPr>
          <w:rFonts w:ascii="Times New Roman" w:eastAsia="MS Mincho" w:hAnsi="Times New Roman"/>
          <w:sz w:val="20"/>
          <w:iCs/>
        </w:rPr>
        <w:t>,
2024-01-16,
paskelbta TAR 2024-01-16, i. k. 2024-00619                </w:t>
      </w:r>
    </w:p>
    <w:p>
      <w:pPr>
        <w:jc w:val="both"/>
        <w:rPr>
          <w:rFonts w:ascii="Times New Roman" w:hAnsi="Times New Roman"/>
        </w:rPr>
      </w:pPr>
      <w:r>
        <w:rPr>
          <w:rFonts w:ascii="Times New Roman" w:hAnsi="Times New Roman"/>
          <w:sz w:val="20"/>
        </w:rPr>
        <w:t>Dėl Lietuvos Respublikos aplinkos ministro 2011 m. birželio 28 d. įsakymo Nr. D1-508 „Dėl Aplinkos apsaugos kriterijų taikymo, vykdant žaliuosius pirkimus,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10.</w:t>
      </w:r>
    </w:p>
    <w:p>
      <w:pPr>
        <w:jc w:val="both"/>
        <w:rPr>
          <w:rFonts w:ascii="Times New Roman" w:hAnsi="Times New Roman"/>
        </w:rPr>
      </w:pPr>
      <w:r>
        <w:rPr>
          <w:rFonts w:ascii="Times New Roman" w:hAnsi="Times New Roman"/>
          <w:sz w:val="20"/>
        </w:rPr>
        <w:t>
                    Lietuvos Respublikos aplinkos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d92cde9195f411efa605b9842742bf37">
        <w:r w:rsidRPr="00532B9F">
          <w:rPr>
            <w:rFonts w:ascii="Times New Roman" w:eastAsia="MS Mincho" w:hAnsi="Times New Roman"/>
            <w:sz w:val="20"/>
            <w:iCs/>
            <w:color w:val="0000FF" w:themeColor="hyperlink"/>
            <w:u w:val="single"/>
          </w:rPr>
          <w:t>D1-367</w:t>
        </w:r>
      </w:fldSimple>
      <w:r>
        <w:rPr>
          <w:rFonts w:ascii="Times New Roman" w:eastAsia="MS Mincho" w:hAnsi="Times New Roman"/>
          <w:sz w:val="20"/>
          <w:iCs/>
        </w:rPr>
        <w:t>,
2024-10-29,
paskelbta TAR 2024-10-29, i. k. 2024-18741                </w:t>
      </w:r>
    </w:p>
    <w:p>
      <w:pPr>
        <w:jc w:val="both"/>
        <w:rPr>
          <w:rFonts w:ascii="Times New Roman" w:hAnsi="Times New Roman"/>
        </w:rPr>
      </w:pPr>
      <w:r>
        <w:rPr>
          <w:rFonts w:ascii="Times New Roman" w:hAnsi="Times New Roman"/>
          <w:sz w:val="20"/>
        </w:rPr>
        <w:t>Dėl Lietuvos Respublikos aplinkos ministro 2011 m. birželio 28 d. įsakymo Nr. D1-508 „Dėl Aplinkos apsaugos kriterijų taikymo, vykdant žaliuosius pirkimus, tvarkos aprašo patvirtinimo“ pakeitimo</w:t>
      </w:r>
    </w:p>
    <w:p>
      <w:pPr>
        <w:jc w:val="both"/>
        <w:rPr>
          <w:rFonts w:ascii="Times New Roman" w:hAnsi="Times New Roman"/>
          <w:sz w:val="20"/>
        </w:rPr>
      </w:pPr>
    </w:p>
    <w:p>
      <w:pPr>
        <w:widowControl w:val="0"/>
        <w:rPr>
          <w:rFonts w:ascii="Times New Roman" w:hAnsi="Times New Roman"/>
          <w:snapToGrid w:val="0"/>
        </w:rPr>
      </w:pPr>
    </w:p>
    <w:sectPr>
      <w:pgSz w:w="11906" w:h="16838"/>
      <w:pgMar w:top="1134" w:right="709" w:bottom="1134" w:left="1701" w:header="680" w:footer="680" w:gutter="0"/>
      <w:pgNumType w:start="1"/>
      <w:cols w:space="708"/>
      <w:titlePg/>
      <w:docGrid w:linePitch="360"/>
    </w:sectPr>
  </w:body>
</w:document>
</file>

<file path=word/endnotes.xml><?xml version="1.0" encoding="utf-8"?>
<w:end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endnote w:type="separator" w:id="-1">
    <w:p>
      <w:pPr>
        <w:rPr>
          <w:szCs w:val="24"/>
          <w:lang w:val="en-GB"/>
        </w:rPr>
      </w:pPr>
      <w:r>
        <w:rPr>
          <w:szCs w:val="24"/>
          <w:lang w:val="en-GB"/>
        </w:rPr>
        <w:separator/>
      </w:r>
    </w:p>
  </w:endnote>
  <w:endnote w:type="continuationSeparator" w:id="0">
    <w:p>
      <w:pPr>
        <w:rPr>
          <w:szCs w:val="24"/>
          <w:lang w:val="en-GB"/>
        </w:rPr>
      </w:pPr>
      <w:r>
        <w:rPr>
          <w:szCs w:val="24"/>
          <w:lang w:val="en-GB"/>
        </w:rPr>
        <w:continuationSeparator/>
      </w:r>
    </w:p>
  </w:endnote>
</w:endnotes>
</file>

<file path=word/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umberland">
    <w:charset w:val="BA"/>
    <w:family w:val="modern"/>
    <w:pitch w:val="fixed"/>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footer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right" w:y="1"/>
      <w:tabs>
        <w:tab w:val="center" w:pos="4153"/>
        <w:tab w:val="right" w:pos="8306"/>
      </w:tabs>
      <w:rPr>
        <w:szCs w:val="24"/>
        <w:lang w:val="en-GB"/>
      </w:rPr>
    </w:pPr>
    <w:r>
      <w:rPr>
        <w:szCs w:val="24"/>
        <w:lang w:val="en-GB"/>
      </w:rPr>
      <w:fldChar w:fldCharType="begin"/>
    </w:r>
    <w:r>
      <w:rPr>
        <w:szCs w:val="24"/>
        <w:lang w:val="en-GB"/>
      </w:rPr>
      <w:instrText xml:space="preserve">PAGE  </w:instrText>
    </w:r>
    <w:r>
      <w:rPr>
        <w:szCs w:val="24"/>
        <w:lang w:val="en-GB"/>
      </w:rPr>
      <w:fldChar w:fldCharType="end"/>
    </w:r>
  </w:p>
  <w:p>
    <w:pPr>
      <w:tabs>
        <w:tab w:val="center" w:pos="4153"/>
        <w:tab w:val="right" w:pos="8306"/>
      </w:tabs>
      <w:ind w:right="360"/>
      <w:rPr>
        <w:szCs w:val="24"/>
        <w:lang w:val="en-GB"/>
      </w:rPr>
    </w:pPr>
  </w:p>
</w:ftr>
</file>

<file path=word/footer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right" w:y="1"/>
      <w:tabs>
        <w:tab w:val="center" w:pos="4153"/>
        <w:tab w:val="right" w:pos="8306"/>
      </w:tabs>
      <w:rPr>
        <w:szCs w:val="24"/>
        <w:lang w:val="en-GB"/>
      </w:rPr>
    </w:pPr>
    <w:r>
      <w:rPr>
        <w:szCs w:val="24"/>
        <w:lang w:val="en-GB"/>
      </w:rPr>
      <w:fldChar w:fldCharType="begin"/>
    </w:r>
    <w:r>
      <w:rPr>
        <w:szCs w:val="24"/>
        <w:lang w:val="en-GB"/>
      </w:rPr>
      <w:instrText xml:space="preserve">PAGE  </w:instrText>
    </w:r>
    <w:r>
      <w:rPr>
        <w:szCs w:val="24"/>
        <w:lang w:val="en-GB"/>
      </w:rPr>
      <w:fldChar w:fldCharType="end"/>
    </w:r>
  </w:p>
  <w:p>
    <w:pPr>
      <w:tabs>
        <w:tab w:val="center" w:pos="4153"/>
        <w:tab w:val="right" w:pos="8306"/>
      </w:tabs>
      <w:ind w:right="360"/>
      <w:rPr>
        <w:szCs w:val="24"/>
        <w:lang w:val="en-GB"/>
      </w:rPr>
    </w:pPr>
  </w:p>
</w:ftr>
</file>

<file path=word/footer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ind w:right="360"/>
      <w:rPr>
        <w:szCs w:val="24"/>
        <w:lang w:val="en-GB"/>
      </w:rPr>
    </w:pPr>
  </w:p>
</w:ftr>
</file>

<file path=word/footer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suppressAutoHyphens/>
      <w:rPr>
        <w:rFonts w:ascii="Tahoma" w:hAnsi="Tahoma"/>
        <w:spacing w:val="10"/>
        <w:sz w:val="16"/>
        <w:lang w:eastAsia="lt-LT"/>
      </w:rPr>
    </w:pPr>
  </w:p>
</w:ftr>
</file>

<file path=word/footer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suppressAutoHyphens/>
      <w:rPr>
        <w:rFonts w:ascii="Tahoma" w:hAnsi="Tahoma"/>
        <w:spacing w:val="10"/>
        <w:sz w:val="16"/>
        <w:lang w:eastAsia="lt-LT"/>
      </w:rPr>
    </w:pPr>
  </w:p>
</w:ftr>
</file>

<file path=word/footer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suppressAutoHyphens/>
      <w:rPr>
        <w:rFonts w:ascii="Tahoma" w:hAnsi="Tahoma"/>
        <w:spacing w:val="10"/>
        <w:sz w:val="16"/>
        <w:lang w:eastAsia="lt-LT"/>
      </w:rPr>
    </w:pPr>
  </w:p>
</w:ftr>
</file>

<file path=word/footer1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ind w:right="360"/>
      <w:rPr>
        <w:szCs w:val="24"/>
        <w:lang w:val="en-GB"/>
      </w:rPr>
    </w:pPr>
  </w:p>
</w:ftr>
</file>

<file path=word/footer1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right" w:y="1"/>
      <w:tabs>
        <w:tab w:val="center" w:pos="4153"/>
        <w:tab w:val="right" w:pos="8306"/>
      </w:tabs>
      <w:rPr>
        <w:szCs w:val="24"/>
        <w:lang w:val="en-GB"/>
      </w:rPr>
    </w:pPr>
    <w:r>
      <w:rPr>
        <w:szCs w:val="24"/>
        <w:lang w:val="en-GB"/>
      </w:rPr>
      <w:fldChar w:fldCharType="begin"/>
    </w:r>
    <w:r>
      <w:rPr>
        <w:szCs w:val="24"/>
        <w:lang w:val="en-GB"/>
      </w:rPr>
      <w:instrText xml:space="preserve">PAGE  </w:instrText>
    </w:r>
    <w:r>
      <w:rPr>
        <w:szCs w:val="24"/>
        <w:lang w:val="en-GB"/>
      </w:rPr>
      <w:fldChar w:fldCharType="end"/>
    </w:r>
  </w:p>
  <w:p>
    <w:pPr>
      <w:tabs>
        <w:tab w:val="center" w:pos="4153"/>
        <w:tab w:val="right" w:pos="8306"/>
      </w:tabs>
      <w:ind w:right="360"/>
      <w:rPr>
        <w:szCs w:val="24"/>
        <w:lang w:val="en-GB"/>
      </w:rPr>
    </w:pPr>
  </w:p>
</w:ftr>
</file>

<file path=word/footer1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ind w:right="360"/>
      <w:rPr>
        <w:szCs w:val="24"/>
        <w:lang w:val="en-GB"/>
      </w:rPr>
    </w:pPr>
  </w:p>
</w:ftr>
</file>

<file path=word/footer1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right" w:y="1"/>
      <w:tabs>
        <w:tab w:val="center" w:pos="4153"/>
        <w:tab w:val="right" w:pos="8306"/>
      </w:tabs>
      <w:rPr>
        <w:szCs w:val="24"/>
        <w:lang w:val="en-GB"/>
      </w:rPr>
    </w:pPr>
    <w:r>
      <w:rPr>
        <w:szCs w:val="24"/>
        <w:lang w:val="en-GB"/>
      </w:rPr>
      <w:fldChar w:fldCharType="begin"/>
    </w:r>
    <w:r>
      <w:rPr>
        <w:szCs w:val="24"/>
        <w:lang w:val="en-GB"/>
      </w:rPr>
      <w:instrText xml:space="preserve">PAGE  </w:instrText>
    </w:r>
    <w:r>
      <w:rPr>
        <w:szCs w:val="24"/>
        <w:lang w:val="en-GB"/>
      </w:rPr>
      <w:fldChar w:fldCharType="end"/>
    </w:r>
  </w:p>
  <w:p>
    <w:pPr>
      <w:tabs>
        <w:tab w:val="center" w:pos="4153"/>
        <w:tab w:val="right" w:pos="8306"/>
      </w:tabs>
      <w:ind w:right="360"/>
      <w:rPr>
        <w:szCs w:val="24"/>
        <w:lang w:val="en-GB"/>
      </w:rPr>
    </w:pPr>
  </w:p>
</w:ftr>
</file>

<file path=word/footer1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ind w:right="360"/>
      <w:rPr>
        <w:szCs w:val="24"/>
        <w:lang w:val="en-GB"/>
      </w:rPr>
    </w:pPr>
  </w:p>
</w:ftr>
</file>

<file path=word/footer1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Porat"/>
    </w:pPr>
  </w:p>
</w:ftr>
</file>

<file path=word/footer1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right" w:y="1"/>
      <w:tabs>
        <w:tab w:val="center" w:pos="4153"/>
        <w:tab w:val="right" w:pos="8306"/>
      </w:tabs>
      <w:rPr>
        <w:szCs w:val="24"/>
        <w:lang w:val="en-GB"/>
      </w:rPr>
    </w:pPr>
    <w:r>
      <w:rPr>
        <w:szCs w:val="24"/>
        <w:lang w:val="en-GB"/>
      </w:rPr>
      <w:fldChar w:fldCharType="begin"/>
    </w:r>
    <w:r>
      <w:rPr>
        <w:szCs w:val="24"/>
        <w:lang w:val="en-GB"/>
      </w:rPr>
      <w:instrText xml:space="preserve">PAGE  </w:instrText>
    </w:r>
    <w:r>
      <w:rPr>
        <w:szCs w:val="24"/>
        <w:lang w:val="en-GB"/>
      </w:rPr>
      <w:fldChar w:fldCharType="end"/>
    </w:r>
  </w:p>
  <w:p>
    <w:pPr>
      <w:tabs>
        <w:tab w:val="center" w:pos="4153"/>
        <w:tab w:val="right" w:pos="8306"/>
      </w:tabs>
      <w:ind w:right="360"/>
      <w:rPr>
        <w:szCs w:val="24"/>
        <w:lang w:val="en-GB"/>
      </w:rPr>
    </w:pPr>
  </w:p>
</w:ftr>
</file>

<file path=word/footer1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ind w:right="360"/>
      <w:rPr>
        <w:szCs w:val="24"/>
        <w:lang w:val="en-GB"/>
      </w:rPr>
    </w:pPr>
  </w:p>
</w:ftr>
</file>

<file path=word/footer1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Porat"/>
    </w:pPr>
  </w:p>
</w:ftr>
</file>

<file path=word/footer1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suppressAutoHyphens/>
      <w:rPr>
        <w:rFonts w:ascii="Tahoma" w:hAnsi="Tahoma"/>
        <w:spacing w:val="10"/>
        <w:sz w:val="16"/>
        <w:lang w:eastAsia="lt-LT"/>
      </w:rPr>
    </w:pPr>
  </w:p>
</w:ftr>
</file>

<file path=word/footer2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suppressAutoHyphens/>
      <w:rPr>
        <w:rFonts w:ascii="Tahoma" w:hAnsi="Tahoma"/>
        <w:spacing w:val="10"/>
        <w:sz w:val="16"/>
        <w:lang w:eastAsia="lt-LT"/>
      </w:rPr>
    </w:pPr>
  </w:p>
</w:ftr>
</file>

<file path=word/footer2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suppressAutoHyphens/>
      <w:rPr>
        <w:rFonts w:ascii="Tahoma" w:hAnsi="Tahoma"/>
        <w:spacing w:val="10"/>
        <w:sz w:val="16"/>
        <w:lang w:eastAsia="lt-LT"/>
      </w:rPr>
    </w:pPr>
  </w:p>
</w:ftr>
</file>

<file path=word/footer2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suppressAutoHyphens/>
      <w:rPr>
        <w:rFonts w:ascii="Tahoma" w:hAnsi="Tahoma"/>
        <w:spacing w:val="10"/>
        <w:sz w:val="16"/>
        <w:lang w:eastAsia="lt-LT"/>
      </w:rPr>
    </w:pPr>
  </w:p>
</w:ftr>
</file>

<file path=word/footer2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suppressAutoHyphens/>
      <w:rPr>
        <w:rFonts w:ascii="Tahoma" w:hAnsi="Tahoma"/>
        <w:spacing w:val="10"/>
        <w:sz w:val="16"/>
        <w:lang w:eastAsia="lt-LT"/>
      </w:rPr>
    </w:pPr>
  </w:p>
</w:ftr>
</file>

<file path=word/footer2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suppressAutoHyphens/>
      <w:rPr>
        <w:rFonts w:ascii="Tahoma" w:hAnsi="Tahoma"/>
        <w:spacing w:val="10"/>
        <w:sz w:val="16"/>
        <w:lang w:eastAsia="lt-LT"/>
      </w:rPr>
    </w:pPr>
  </w:p>
</w:ftr>
</file>

<file path=word/footer2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 w:val="22"/>
        <w:szCs w:val="22"/>
      </w:rPr>
    </w:pPr>
  </w:p>
</w:ftr>
</file>

<file path=word/footer2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 w:val="22"/>
        <w:szCs w:val="22"/>
      </w:rPr>
    </w:pPr>
  </w:p>
</w:ftr>
</file>

<file path=word/footer2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tbl>
    <w:tblPr>
      <w:tblW w:w="0" w:type="auto"/>
      <w:tblLayout w:type="fixed"/>
      <w:tblLook w:val="06A0" w:firstRow="1" w:lastRow="0" w:firstColumn="1" w:lastColumn="0" w:noHBand="1" w:noVBand="1"/>
    </w:tblPr>
    <w:tblGrid>
      <w:gridCol w:w="3210"/>
      <w:gridCol w:w="3210"/>
      <w:gridCol w:w="3210"/>
    </w:tblGrid>
    <w:tr>
      <w:tc>
        <w:tcPr>
          <w:tcW w:w="3210" w:type="dxa"/>
        </w:tcPr>
        <w:p>
          <w:pPr>
            <w:tabs>
              <w:tab w:val="center" w:pos="4819"/>
              <w:tab w:val="right" w:pos="9638"/>
            </w:tabs>
            <w:ind w:left="-115"/>
            <w:rPr>
              <w:sz w:val="22"/>
              <w:szCs w:val="22"/>
            </w:rPr>
          </w:pPr>
        </w:p>
      </w:tc>
      <w:tc>
        <w:tcPr>
          <w:tcW w:w="3210" w:type="dxa"/>
        </w:tcPr>
        <w:p>
          <w:pPr>
            <w:tabs>
              <w:tab w:val="center" w:pos="4819"/>
              <w:tab w:val="right" w:pos="9638"/>
            </w:tabs>
            <w:jc w:val="center"/>
            <w:rPr>
              <w:sz w:val="22"/>
              <w:szCs w:val="22"/>
            </w:rPr>
          </w:pPr>
        </w:p>
      </w:tc>
      <w:tc>
        <w:tcPr>
          <w:tcW w:w="3210" w:type="dxa"/>
        </w:tcPr>
        <w:p>
          <w:pPr>
            <w:tabs>
              <w:tab w:val="center" w:pos="4819"/>
              <w:tab w:val="right" w:pos="9638"/>
            </w:tabs>
            <w:ind w:right="-115"/>
            <w:jc w:val="right"/>
            <w:rPr>
              <w:sz w:val="22"/>
              <w:szCs w:val="22"/>
            </w:rPr>
          </w:pPr>
        </w:p>
      </w:tc>
    </w:tr>
  </w:tbl>
  <w:p>
    <w:pPr>
      <w:tabs>
        <w:tab w:val="center" w:pos="4819"/>
        <w:tab w:val="right" w:pos="9638"/>
      </w:tabs>
      <w:rPr>
        <w:sz w:val="22"/>
        <w:szCs w:val="22"/>
      </w:rPr>
    </w:pPr>
  </w:p>
</w:ftr>
</file>

<file path=word/footer2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 w:val="22"/>
        <w:szCs w:val="22"/>
      </w:rPr>
    </w:pPr>
  </w:p>
</w:ftr>
</file>

<file path=word/footer2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 w:val="22"/>
        <w:szCs w:val="22"/>
      </w:rPr>
    </w:pPr>
  </w:p>
</w:ftr>
</file>

<file path=word/footer3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tbl>
    <w:tblPr>
      <w:tblW w:w="0" w:type="auto"/>
      <w:tblLayout w:type="fixed"/>
      <w:tblLook w:val="06A0" w:firstRow="1" w:lastRow="0" w:firstColumn="1" w:lastColumn="0" w:noHBand="1" w:noVBand="1"/>
    </w:tblPr>
    <w:tblGrid>
      <w:gridCol w:w="3210"/>
      <w:gridCol w:w="3210"/>
      <w:gridCol w:w="3210"/>
    </w:tblGrid>
    <w:tr>
      <w:tc>
        <w:tcPr>
          <w:tcW w:w="3210" w:type="dxa"/>
        </w:tcPr>
        <w:p>
          <w:pPr>
            <w:tabs>
              <w:tab w:val="center" w:pos="4819"/>
              <w:tab w:val="right" w:pos="9638"/>
            </w:tabs>
            <w:ind w:left="-115"/>
            <w:rPr>
              <w:sz w:val="22"/>
              <w:szCs w:val="22"/>
            </w:rPr>
          </w:pPr>
        </w:p>
      </w:tc>
      <w:tc>
        <w:tcPr>
          <w:tcW w:w="3210" w:type="dxa"/>
        </w:tcPr>
        <w:p>
          <w:pPr>
            <w:tabs>
              <w:tab w:val="center" w:pos="4819"/>
              <w:tab w:val="right" w:pos="9638"/>
            </w:tabs>
            <w:jc w:val="center"/>
            <w:rPr>
              <w:sz w:val="22"/>
              <w:szCs w:val="22"/>
            </w:rPr>
          </w:pPr>
        </w:p>
      </w:tc>
      <w:tc>
        <w:tcPr>
          <w:tcW w:w="3210" w:type="dxa"/>
        </w:tcPr>
        <w:p>
          <w:pPr>
            <w:tabs>
              <w:tab w:val="center" w:pos="4819"/>
              <w:tab w:val="right" w:pos="9638"/>
            </w:tabs>
            <w:ind w:right="-115"/>
            <w:jc w:val="right"/>
            <w:rPr>
              <w:sz w:val="22"/>
              <w:szCs w:val="22"/>
            </w:rPr>
          </w:pPr>
        </w:p>
      </w:tc>
    </w:tr>
  </w:tbl>
  <w:p>
    <w:pPr>
      <w:tabs>
        <w:tab w:val="center" w:pos="4819"/>
        <w:tab w:val="right" w:pos="9638"/>
      </w:tabs>
      <w:rPr>
        <w:sz w:val="22"/>
        <w:szCs w:val="22"/>
      </w:rPr>
    </w:pPr>
  </w:p>
</w:ftr>
</file>

<file path=word/footer3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 w:val="22"/>
        <w:szCs w:val="22"/>
      </w:rPr>
    </w:pPr>
  </w:p>
</w:ftr>
</file>

<file path=word/footer3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 w:val="22"/>
        <w:szCs w:val="22"/>
      </w:rPr>
    </w:pPr>
  </w:p>
</w:ftr>
</file>

<file path=word/footer3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tbl>
    <w:tblPr>
      <w:tblW w:w="0" w:type="auto"/>
      <w:tblLayout w:type="fixed"/>
      <w:tblLook w:val="06A0" w:firstRow="1" w:lastRow="0" w:firstColumn="1" w:lastColumn="0" w:noHBand="1" w:noVBand="1"/>
    </w:tblPr>
    <w:tblGrid>
      <w:gridCol w:w="3210"/>
      <w:gridCol w:w="3210"/>
      <w:gridCol w:w="3210"/>
    </w:tblGrid>
    <w:tr>
      <w:tc>
        <w:tcPr>
          <w:tcW w:w="3210" w:type="dxa"/>
        </w:tcPr>
        <w:p>
          <w:pPr>
            <w:tabs>
              <w:tab w:val="center" w:pos="4819"/>
              <w:tab w:val="right" w:pos="9638"/>
            </w:tabs>
            <w:ind w:left="-115"/>
            <w:rPr>
              <w:sz w:val="22"/>
              <w:szCs w:val="22"/>
            </w:rPr>
          </w:pPr>
        </w:p>
      </w:tc>
      <w:tc>
        <w:tcPr>
          <w:tcW w:w="3210" w:type="dxa"/>
        </w:tcPr>
        <w:p>
          <w:pPr>
            <w:tabs>
              <w:tab w:val="center" w:pos="4819"/>
              <w:tab w:val="right" w:pos="9638"/>
            </w:tabs>
            <w:jc w:val="center"/>
            <w:rPr>
              <w:sz w:val="22"/>
              <w:szCs w:val="22"/>
            </w:rPr>
          </w:pPr>
        </w:p>
      </w:tc>
      <w:tc>
        <w:tcPr>
          <w:tcW w:w="3210" w:type="dxa"/>
        </w:tcPr>
        <w:p>
          <w:pPr>
            <w:tabs>
              <w:tab w:val="center" w:pos="4819"/>
              <w:tab w:val="right" w:pos="9638"/>
            </w:tabs>
            <w:ind w:right="-115"/>
            <w:jc w:val="right"/>
            <w:rPr>
              <w:sz w:val="22"/>
              <w:szCs w:val="22"/>
            </w:rPr>
          </w:pPr>
        </w:p>
      </w:tc>
    </w:tr>
  </w:tbl>
  <w:p>
    <w:pPr>
      <w:tabs>
        <w:tab w:val="center" w:pos="4819"/>
        <w:tab w:val="right" w:pos="9638"/>
      </w:tabs>
      <w:rPr>
        <w:sz w:val="22"/>
        <w:szCs w:val="22"/>
      </w:rPr>
    </w:pPr>
  </w:p>
</w:ftr>
</file>

<file path=word/footer3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 w:val="22"/>
        <w:szCs w:val="22"/>
      </w:rPr>
    </w:pPr>
  </w:p>
</w:ftr>
</file>

<file path=word/footer3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 w:val="22"/>
        <w:szCs w:val="22"/>
      </w:rPr>
    </w:pPr>
  </w:p>
</w:ftr>
</file>

<file path=word/footer3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tbl>
    <w:tblPr>
      <w:tblW w:w="0" w:type="auto"/>
      <w:tblLayout w:type="fixed"/>
      <w:tblLook w:val="06A0" w:firstRow="1" w:lastRow="0" w:firstColumn="1" w:lastColumn="0" w:noHBand="1" w:noVBand="1"/>
    </w:tblPr>
    <w:tblGrid>
      <w:gridCol w:w="3210"/>
      <w:gridCol w:w="3210"/>
      <w:gridCol w:w="3210"/>
    </w:tblGrid>
    <w:tr>
      <w:tc>
        <w:tcPr>
          <w:tcW w:w="3210" w:type="dxa"/>
        </w:tcPr>
        <w:p>
          <w:pPr>
            <w:tabs>
              <w:tab w:val="center" w:pos="4819"/>
              <w:tab w:val="right" w:pos="9638"/>
            </w:tabs>
            <w:ind w:left="-115"/>
            <w:rPr>
              <w:sz w:val="22"/>
              <w:szCs w:val="22"/>
            </w:rPr>
          </w:pPr>
        </w:p>
      </w:tc>
      <w:tc>
        <w:tcPr>
          <w:tcW w:w="3210" w:type="dxa"/>
        </w:tcPr>
        <w:p>
          <w:pPr>
            <w:tabs>
              <w:tab w:val="center" w:pos="4819"/>
              <w:tab w:val="right" w:pos="9638"/>
            </w:tabs>
            <w:jc w:val="center"/>
            <w:rPr>
              <w:sz w:val="22"/>
              <w:szCs w:val="22"/>
            </w:rPr>
          </w:pPr>
        </w:p>
      </w:tc>
      <w:tc>
        <w:tcPr>
          <w:tcW w:w="3210" w:type="dxa"/>
        </w:tcPr>
        <w:p>
          <w:pPr>
            <w:tabs>
              <w:tab w:val="center" w:pos="4819"/>
              <w:tab w:val="right" w:pos="9638"/>
            </w:tabs>
            <w:ind w:right="-115"/>
            <w:jc w:val="right"/>
            <w:rPr>
              <w:sz w:val="22"/>
              <w:szCs w:val="22"/>
            </w:rPr>
          </w:pPr>
        </w:p>
      </w:tc>
    </w:tr>
  </w:tbl>
  <w:p>
    <w:pPr>
      <w:tabs>
        <w:tab w:val="center" w:pos="4819"/>
        <w:tab w:val="right" w:pos="9638"/>
      </w:tabs>
      <w:rPr>
        <w:sz w:val="22"/>
        <w:szCs w:val="22"/>
      </w:rPr>
    </w:pPr>
  </w:p>
</w:ftr>
</file>

<file path=word/footnotes.xml><?xml version="1.0" encoding="utf-8"?>
<w:foot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footnote w:type="separator" w:id="-1">
    <w:p>
      <w:pPr>
        <w:rPr>
          <w:szCs w:val="24"/>
          <w:lang w:val="en-GB"/>
        </w:rPr>
      </w:pPr>
      <w:r>
        <w:rPr>
          <w:szCs w:val="24"/>
          <w:lang w:val="en-GB"/>
        </w:rPr>
        <w:separator/>
      </w:r>
    </w:p>
  </w:footnote>
  <w:footnote w:type="continuationSeparator" w:id="0">
    <w:p>
      <w:pPr>
        <w:rPr>
          <w:szCs w:val="24"/>
          <w:lang w:val="en-GB"/>
        </w:rPr>
      </w:pPr>
      <w:r>
        <w:rPr>
          <w:szCs w:val="24"/>
          <w:lang w:val="en-GB"/>
        </w:rPr>
        <w:continuationSeparator/>
      </w:r>
    </w:p>
  </w:footnote>
</w:footnotes>
</file>

<file path=word/header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szCs w:val="24"/>
        <w:lang w:val="en-GB"/>
      </w:rPr>
    </w:pPr>
    <w:r>
      <w:rPr>
        <w:szCs w:val="24"/>
        <w:lang w:val="en-GB"/>
      </w:rPr>
      <w:fldChar w:fldCharType="begin"/>
    </w:r>
    <w:r>
      <w:rPr>
        <w:szCs w:val="24"/>
        <w:lang w:val="en-GB"/>
      </w:rPr>
      <w:instrText xml:space="preserve">PAGE  </w:instrText>
    </w:r>
    <w:r>
      <w:rPr>
        <w:szCs w:val="24"/>
        <w:lang w:val="en-GB"/>
      </w:rPr>
      <w:fldChar w:fldCharType="end"/>
    </w:r>
  </w:p>
  <w:p>
    <w:pPr>
      <w:tabs>
        <w:tab w:val="center" w:pos="4153"/>
        <w:tab w:val="right" w:pos="8306"/>
      </w:tabs>
      <w:rPr>
        <w:szCs w:val="24"/>
        <w:lang w:val="en-GB"/>
      </w:rPr>
    </w:pPr>
  </w:p>
</w:hdr>
</file>

<file path=word/header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szCs w:val="24"/>
        <w:lang w:val="en-GB"/>
      </w:rPr>
    </w:pPr>
    <w:r>
      <w:rPr>
        <w:szCs w:val="24"/>
        <w:lang w:val="en-GB"/>
      </w:rPr>
      <w:fldChar w:fldCharType="begin"/>
    </w:r>
    <w:r>
      <w:rPr>
        <w:szCs w:val="24"/>
        <w:lang w:val="en-GB"/>
      </w:rPr>
      <w:instrText xml:space="preserve">PAGE  </w:instrText>
    </w:r>
    <w:r>
      <w:rPr>
        <w:szCs w:val="24"/>
        <w:lang w:val="en-GB"/>
      </w:rPr>
      <w:fldChar w:fldCharType="end"/>
    </w:r>
  </w:p>
  <w:p>
    <w:pPr>
      <w:tabs>
        <w:tab w:val="center" w:pos="4153"/>
        <w:tab w:val="right" w:pos="8306"/>
      </w:tabs>
      <w:rPr>
        <w:szCs w:val="24"/>
        <w:lang w:val="en-GB"/>
      </w:rPr>
    </w:pPr>
  </w:p>
</w:hdr>
</file>

<file path=word/header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2</w:t>
    </w:r>
    <w:r>
      <w:fldChar w:fldCharType="end"/>
    </w:r>
  </w:p>
  <w:p>
    <w:pPr>
      <w:pStyle w:val="Antrats"/>
    </w:pPr>
  </w:p>
</w:hdr>
</file>

<file path=word/header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rPr>
        <w:szCs w:val="24"/>
        <w:lang w:val="en-GB"/>
      </w:rPr>
    </w:pPr>
  </w:p>
</w:hdr>
</file>

<file path=word/header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9100"/>
      </w:tabs>
      <w:suppressAutoHyphens/>
      <w:rPr>
        <w:rFonts w:ascii="Tahoma" w:hAnsi="Tahoma"/>
        <w:spacing w:val="10"/>
        <w:sz w:val="20"/>
        <w:lang w:eastAsia="lt-LT"/>
      </w:rPr>
    </w:pPr>
  </w:p>
</w:hdr>
</file>

<file path=word/header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107</w:t>
    </w:r>
    <w:r>
      <w:fldChar w:fldCharType="end"/>
    </w:r>
  </w:p>
  <w:p>
    <w:pPr>
      <w:tabs>
        <w:tab w:val="left" w:pos="3344"/>
        <w:tab w:val="left" w:pos="8291"/>
      </w:tabs>
      <w:suppressAutoHyphens/>
      <w:spacing w:before="120" w:after="60"/>
      <w:ind w:left="-17" w:firstLine="17"/>
      <w:jc w:val="center"/>
      <w:rPr>
        <w:b/>
        <w:bCs/>
        <w:lang w:eastAsia="lt-LT"/>
      </w:rPr>
    </w:pPr>
  </w:p>
</w:hdr>
</file>

<file path=word/header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9100"/>
      </w:tabs>
      <w:suppressAutoHyphens/>
      <w:rPr>
        <w:rFonts w:ascii="Tahoma" w:hAnsi="Tahoma"/>
        <w:spacing w:val="10"/>
        <w:sz w:val="20"/>
        <w:lang w:eastAsia="lt-LT"/>
      </w:rPr>
    </w:pPr>
  </w:p>
</w:hdr>
</file>

<file path=word/header1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szCs w:val="24"/>
        <w:lang w:val="en-GB"/>
      </w:rPr>
    </w:pPr>
  </w:p>
</w:hdr>
</file>

<file path=word/header1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szCs w:val="24"/>
        <w:lang w:val="en-GB"/>
      </w:rPr>
    </w:pPr>
    <w:r>
      <w:rPr>
        <w:szCs w:val="24"/>
        <w:lang w:val="en-GB"/>
      </w:rPr>
      <w:fldChar w:fldCharType="begin"/>
    </w:r>
    <w:r>
      <w:rPr>
        <w:szCs w:val="24"/>
        <w:lang w:val="en-GB"/>
      </w:rPr>
      <w:instrText xml:space="preserve">PAGE  </w:instrText>
    </w:r>
    <w:r>
      <w:rPr>
        <w:szCs w:val="24"/>
        <w:lang w:val="en-GB"/>
      </w:rPr>
      <w:fldChar w:fldCharType="end"/>
    </w:r>
  </w:p>
  <w:p>
    <w:pPr>
      <w:tabs>
        <w:tab w:val="center" w:pos="4153"/>
        <w:tab w:val="right" w:pos="8306"/>
      </w:tabs>
      <w:rPr>
        <w:szCs w:val="24"/>
        <w:lang w:val="en-GB"/>
      </w:rPr>
    </w:pPr>
  </w:p>
</w:hdr>
</file>

<file path=word/header1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szCs w:val="24"/>
        <w:lang w:val="en-GB"/>
      </w:rPr>
    </w:pPr>
  </w:p>
</w:hdr>
</file>

<file path=word/header1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szCs w:val="24"/>
        <w:lang w:val="en-GB"/>
      </w:rPr>
    </w:pPr>
    <w:r>
      <w:rPr>
        <w:szCs w:val="24"/>
        <w:lang w:val="en-GB"/>
      </w:rPr>
      <w:fldChar w:fldCharType="begin"/>
    </w:r>
    <w:r>
      <w:rPr>
        <w:szCs w:val="24"/>
        <w:lang w:val="en-GB"/>
      </w:rPr>
      <w:instrText xml:space="preserve">PAGE  </w:instrText>
    </w:r>
    <w:r>
      <w:rPr>
        <w:szCs w:val="24"/>
        <w:lang w:val="en-GB"/>
      </w:rPr>
      <w:fldChar w:fldCharType="end"/>
    </w:r>
  </w:p>
  <w:p>
    <w:pPr>
      <w:tabs>
        <w:tab w:val="center" w:pos="4153"/>
        <w:tab w:val="right" w:pos="8306"/>
      </w:tabs>
      <w:rPr>
        <w:szCs w:val="24"/>
        <w:lang w:val="en-GB"/>
      </w:rPr>
    </w:pPr>
  </w:p>
</w:hdr>
</file>

<file path=word/header1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2</w:t>
    </w:r>
    <w:r>
      <w:fldChar w:fldCharType="end"/>
    </w:r>
  </w:p>
  <w:p>
    <w:pPr>
      <w:pStyle w:val="Antrats"/>
    </w:pPr>
  </w:p>
</w:hdr>
</file>

<file path=word/header1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szCs w:val="24"/>
        <w:lang w:val="en-GB"/>
      </w:rPr>
    </w:pPr>
  </w:p>
</w:hdr>
</file>

<file path=word/header1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szCs w:val="24"/>
        <w:lang w:val="en-GB"/>
      </w:rPr>
    </w:pPr>
    <w:r>
      <w:rPr>
        <w:szCs w:val="24"/>
        <w:lang w:val="en-GB"/>
      </w:rPr>
      <w:fldChar w:fldCharType="begin"/>
    </w:r>
    <w:r>
      <w:rPr>
        <w:szCs w:val="24"/>
        <w:lang w:val="en-GB"/>
      </w:rPr>
      <w:instrText xml:space="preserve">PAGE  </w:instrText>
    </w:r>
    <w:r>
      <w:rPr>
        <w:szCs w:val="24"/>
        <w:lang w:val="en-GB"/>
      </w:rPr>
      <w:fldChar w:fldCharType="end"/>
    </w:r>
  </w:p>
  <w:p>
    <w:pPr>
      <w:tabs>
        <w:tab w:val="center" w:pos="4153"/>
        <w:tab w:val="right" w:pos="8306"/>
      </w:tabs>
      <w:rPr>
        <w:szCs w:val="24"/>
        <w:lang w:val="en-GB"/>
      </w:rPr>
    </w:pPr>
  </w:p>
</w:hdr>
</file>

<file path=word/header1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2</w:t>
    </w:r>
    <w:r>
      <w:fldChar w:fldCharType="end"/>
    </w:r>
  </w:p>
  <w:p>
    <w:pPr>
      <w:pStyle w:val="Antrats"/>
    </w:pPr>
  </w:p>
</w:hdr>
</file>

<file path=word/header1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rPr>
        <w:szCs w:val="24"/>
        <w:lang w:val="en-GB"/>
      </w:rPr>
    </w:pPr>
  </w:p>
</w:hdr>
</file>

<file path=word/header1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9100"/>
      </w:tabs>
      <w:suppressAutoHyphens/>
      <w:rPr>
        <w:rFonts w:ascii="Tahoma" w:hAnsi="Tahoma"/>
        <w:spacing w:val="10"/>
        <w:sz w:val="20"/>
        <w:lang w:eastAsia="lt-LT"/>
      </w:rPr>
    </w:pPr>
  </w:p>
</w:hdr>
</file>

<file path=word/header2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105</w:t>
    </w:r>
    <w:r>
      <w:fldChar w:fldCharType="end"/>
    </w:r>
  </w:p>
  <w:p>
    <w:pPr>
      <w:tabs>
        <w:tab w:val="left" w:pos="3344"/>
        <w:tab w:val="left" w:pos="8291"/>
      </w:tabs>
      <w:suppressAutoHyphens/>
      <w:spacing w:before="120" w:after="60"/>
      <w:ind w:left="-17" w:firstLine="17"/>
      <w:jc w:val="center"/>
      <w:rPr>
        <w:b/>
        <w:bCs/>
        <w:lang w:eastAsia="lt-LT"/>
      </w:rPr>
    </w:pPr>
  </w:p>
</w:hdr>
</file>

<file path=word/header2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9100"/>
      </w:tabs>
      <w:suppressAutoHyphens/>
      <w:rPr>
        <w:rFonts w:ascii="Tahoma" w:hAnsi="Tahoma"/>
        <w:spacing w:val="10"/>
        <w:sz w:val="20"/>
        <w:lang w:eastAsia="lt-LT"/>
      </w:rPr>
    </w:pPr>
  </w:p>
</w:hdr>
</file>

<file path=word/header2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9100"/>
      </w:tabs>
      <w:suppressAutoHyphens/>
      <w:rPr>
        <w:rFonts w:ascii="Tahoma" w:hAnsi="Tahoma"/>
        <w:spacing w:val="10"/>
        <w:sz w:val="20"/>
        <w:lang w:eastAsia="lt-LT"/>
      </w:rPr>
    </w:pPr>
  </w:p>
</w:hdr>
</file>

<file path=word/header2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3</w:t>
    </w:r>
    <w:r>
      <w:fldChar w:fldCharType="end"/>
    </w:r>
  </w:p>
  <w:p>
    <w:pPr>
      <w:tabs>
        <w:tab w:val="left" w:pos="3344"/>
        <w:tab w:val="left" w:pos="8291"/>
      </w:tabs>
      <w:suppressAutoHyphens/>
      <w:spacing w:before="120" w:after="60"/>
      <w:ind w:left="-17" w:firstLine="17"/>
      <w:jc w:val="center"/>
      <w:rPr>
        <w:b/>
        <w:bCs/>
        <w:lang w:eastAsia="lt-LT"/>
      </w:rPr>
    </w:pPr>
  </w:p>
</w:hdr>
</file>

<file path=word/header2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9100"/>
      </w:tabs>
      <w:suppressAutoHyphens/>
      <w:rPr>
        <w:rFonts w:ascii="Tahoma" w:hAnsi="Tahoma"/>
        <w:spacing w:val="10"/>
        <w:sz w:val="20"/>
        <w:lang w:eastAsia="lt-LT"/>
      </w:rPr>
    </w:pPr>
  </w:p>
</w:hdr>
</file>

<file path=word/header2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 w:val="22"/>
        <w:szCs w:val="22"/>
      </w:rPr>
    </w:pPr>
  </w:p>
</w:hdr>
</file>

<file path=word/header2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jc w:val="center"/>
      <w:rPr>
        <w:b/>
        <w:bCs/>
        <w:sz w:val="22"/>
        <w:szCs w:val="24"/>
      </w:rPr>
    </w:pPr>
    <w:r>
      <w:rPr>
        <w:szCs w:val="24"/>
      </w:rPr>
      <w:fldChar w:fldCharType="begin"/>
    </w:r>
    <w:r>
      <w:rPr>
        <w:szCs w:val="24"/>
      </w:rPr>
      <w:instrText>PAGE   \* MERGEFORMAT</w:instrText>
    </w:r>
    <w:r>
      <w:rPr>
        <w:szCs w:val="24"/>
      </w:rPr>
      <w:fldChar w:fldCharType="separate"/>
    </w:r>
    <w:r>
      <w:rPr>
        <w:szCs w:val="24"/>
      </w:rPr>
      <w:t>2</w:t>
    </w:r>
    <w:r>
      <w:rPr>
        <w:szCs w:val="24"/>
      </w:rPr>
      <w:fldChar w:fldCharType="end"/>
    </w:r>
  </w:p>
</w:hdr>
</file>

<file path=word/header2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986"/>
        <w:tab w:val="right" w:pos="9972"/>
      </w:tabs>
    </w:pPr>
  </w:p>
</w:hdr>
</file>

<file path=word/header2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 w:val="22"/>
        <w:szCs w:val="22"/>
      </w:rPr>
    </w:pPr>
  </w:p>
</w:hdr>
</file>

<file path=word/header2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jc w:val="center"/>
      <w:rPr>
        <w:b/>
        <w:bCs/>
        <w:sz w:val="22"/>
        <w:szCs w:val="24"/>
      </w:rPr>
    </w:pPr>
    <w:r>
      <w:rPr>
        <w:szCs w:val="24"/>
      </w:rPr>
      <w:fldChar w:fldCharType="begin"/>
    </w:r>
    <w:r>
      <w:rPr>
        <w:szCs w:val="24"/>
      </w:rPr>
      <w:instrText>PAGE   \* MERGEFORMAT</w:instrText>
    </w:r>
    <w:r>
      <w:rPr>
        <w:szCs w:val="24"/>
      </w:rPr>
      <w:fldChar w:fldCharType="separate"/>
    </w:r>
    <w:r>
      <w:rPr>
        <w:szCs w:val="24"/>
      </w:rPr>
      <w:t>4</w:t>
    </w:r>
    <w:r>
      <w:rPr>
        <w:szCs w:val="24"/>
      </w:rPr>
      <w:fldChar w:fldCharType="end"/>
    </w:r>
  </w:p>
</w:hdr>
</file>

<file path=word/header3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986"/>
        <w:tab w:val="right" w:pos="9972"/>
      </w:tabs>
    </w:pPr>
  </w:p>
</w:hdr>
</file>

<file path=word/header3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 w:val="22"/>
        <w:szCs w:val="22"/>
      </w:rPr>
    </w:pPr>
  </w:p>
</w:hdr>
</file>

<file path=word/header3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jc w:val="center"/>
      <w:rPr>
        <w:b/>
        <w:bCs/>
        <w:sz w:val="22"/>
        <w:szCs w:val="24"/>
      </w:rPr>
    </w:pPr>
    <w:r>
      <w:rPr>
        <w:szCs w:val="24"/>
      </w:rPr>
      <w:fldChar w:fldCharType="begin"/>
    </w:r>
    <w:r>
      <w:rPr>
        <w:szCs w:val="24"/>
      </w:rPr>
      <w:instrText>PAGE   \* MERGEFORMAT</w:instrText>
    </w:r>
    <w:r>
      <w:rPr>
        <w:szCs w:val="24"/>
      </w:rPr>
      <w:fldChar w:fldCharType="separate"/>
    </w:r>
    <w:r>
      <w:rPr>
        <w:szCs w:val="24"/>
      </w:rPr>
      <w:t>2</w:t>
    </w:r>
    <w:r>
      <w:rPr>
        <w:szCs w:val="24"/>
      </w:rPr>
      <w:fldChar w:fldCharType="end"/>
    </w:r>
  </w:p>
</w:hdr>
</file>

<file path=word/header3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986"/>
        <w:tab w:val="right" w:pos="9972"/>
      </w:tabs>
    </w:pPr>
  </w:p>
</w:hdr>
</file>

<file path=word/header3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 w:val="22"/>
        <w:szCs w:val="22"/>
      </w:rPr>
    </w:pPr>
  </w:p>
</w:hdr>
</file>

<file path=word/header3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jc w:val="center"/>
      <w:rPr>
        <w:b/>
        <w:bCs/>
        <w:sz w:val="22"/>
        <w:szCs w:val="24"/>
      </w:rPr>
    </w:pPr>
    <w:r>
      <w:rPr>
        <w:szCs w:val="24"/>
      </w:rPr>
      <w:fldChar w:fldCharType="begin"/>
    </w:r>
    <w:r>
      <w:rPr>
        <w:szCs w:val="24"/>
      </w:rPr>
      <w:instrText>PAGE   \* MERGEFORMAT</w:instrText>
    </w:r>
    <w:r>
      <w:rPr>
        <w:szCs w:val="24"/>
      </w:rPr>
      <w:fldChar w:fldCharType="separate"/>
    </w:r>
    <w:r>
      <w:rPr>
        <w:szCs w:val="24"/>
      </w:rPr>
      <w:t>9</w:t>
    </w:r>
    <w:r>
      <w:rPr>
        <w:szCs w:val="24"/>
      </w:rPr>
      <w:fldChar w:fldCharType="end"/>
    </w:r>
  </w:p>
</w:hdr>
</file>

<file path=word/header3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986"/>
        <w:tab w:val="right" w:pos="9972"/>
      </w:tabs>
    </w:pPr>
  </w:p>
</w:hdr>
</file>

<file path=word/numbering.xml><?xml version="1.0" encoding="utf-8"?>
<w:numbering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abstractNum w:abstractNumId="0" w15:restartNumberingAfterBreak="0">
    <w:nsid w:val="0B9E6D80"/>
    <w:multiLevelType w:val="hybridMultilevel"/>
    <w:tmpl w:val="6520E90A"/>
    <w:lvl w:ilvl="0" w:tplc="1B3E5872">
      <w:start w:val="2"/>
      <w:numFmt w:val="decimal"/>
      <w:lvlText w:val="%1)"/>
      <w:lvlJc w:val="left"/>
      <w:pPr>
        <w:ind w:left="644" w:hanging="360"/>
      </w:p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start w:val="1"/>
      <w:numFmt w:val="decimal"/>
      <w:lvlText w:val="%4."/>
      <w:lvlJc w:val="left"/>
      <w:pPr>
        <w:ind w:left="2804" w:hanging="360"/>
      </w:pPr>
    </w:lvl>
    <w:lvl w:ilvl="4" w:tplc="04270019">
      <w:start w:val="1"/>
      <w:numFmt w:val="lowerLetter"/>
      <w:lvlText w:val="%5."/>
      <w:lvlJc w:val="left"/>
      <w:pPr>
        <w:ind w:left="3524" w:hanging="360"/>
      </w:pPr>
    </w:lvl>
    <w:lvl w:ilvl="5" w:tplc="0427001B">
      <w:start w:val="1"/>
      <w:numFmt w:val="lowerRoman"/>
      <w:lvlText w:val="%6."/>
      <w:lvlJc w:val="right"/>
      <w:pPr>
        <w:ind w:left="4244" w:hanging="180"/>
      </w:pPr>
    </w:lvl>
    <w:lvl w:ilvl="6" w:tplc="0427000F">
      <w:start w:val="1"/>
      <w:numFmt w:val="decimal"/>
      <w:lvlText w:val="%7."/>
      <w:lvlJc w:val="left"/>
      <w:pPr>
        <w:ind w:left="4964" w:hanging="360"/>
      </w:pPr>
    </w:lvl>
    <w:lvl w:ilvl="7" w:tplc="04270019">
      <w:start w:val="1"/>
      <w:numFmt w:val="lowerLetter"/>
      <w:lvlText w:val="%8."/>
      <w:lvlJc w:val="left"/>
      <w:pPr>
        <w:ind w:left="5684" w:hanging="360"/>
      </w:pPr>
    </w:lvl>
    <w:lvl w:ilvl="8" w:tplc="0427001B">
      <w:start w:val="1"/>
      <w:numFmt w:val="lowerRoman"/>
      <w:lvlText w:val="%9."/>
      <w:lvlJc w:val="right"/>
      <w:pPr>
        <w:ind w:left="6404" w:hanging="180"/>
      </w:pPr>
    </w:lvl>
  </w:abstractNum>
  <w:abstractNum w:abstractNumId="1" w15:restartNumberingAfterBreak="0">
    <w:nsid w:val="328F4BE8"/>
    <w:multiLevelType w:val="multilevel"/>
    <w:tmpl w:val="2ACE9606"/>
    <w:lvl w:ilvl="0">
      <w:start w:val="2"/>
      <w:numFmt w:val="decimal"/>
      <w:lvlText w:val="%1."/>
      <w:lvlJc w:val="left"/>
      <w:pPr>
        <w:ind w:left="360" w:hanging="360"/>
      </w:pPr>
      <w:rPr>
        <w:rFonts w:eastAsia="Calibri"/>
      </w:rPr>
    </w:lvl>
    <w:lvl w:ilvl="1">
      <w:start w:val="1"/>
      <w:numFmt w:val="decimal"/>
      <w:lvlText w:val="%1.%2."/>
      <w:lvlJc w:val="left"/>
      <w:pPr>
        <w:ind w:left="720" w:hanging="720"/>
      </w:pPr>
      <w:rPr>
        <w:rFonts w:eastAsia="Calibri"/>
      </w:rPr>
    </w:lvl>
    <w:lvl w:ilvl="2">
      <w:start w:val="1"/>
      <w:numFmt w:val="decimal"/>
      <w:lvlText w:val="%1.%2.%3."/>
      <w:lvlJc w:val="left"/>
      <w:pPr>
        <w:ind w:left="720" w:hanging="720"/>
      </w:pPr>
      <w:rPr>
        <w:rFonts w:eastAsia="Calibri"/>
      </w:rPr>
    </w:lvl>
    <w:lvl w:ilvl="3">
      <w:start w:val="1"/>
      <w:numFmt w:val="decimal"/>
      <w:lvlText w:val="%1.%2.%3.%4."/>
      <w:lvlJc w:val="left"/>
      <w:pPr>
        <w:ind w:left="1080" w:hanging="1080"/>
      </w:pPr>
      <w:rPr>
        <w:rFonts w:eastAsia="Calibri"/>
      </w:rPr>
    </w:lvl>
    <w:lvl w:ilvl="4">
      <w:start w:val="1"/>
      <w:numFmt w:val="decimal"/>
      <w:lvlText w:val="%1.%2.%3.%4.%5."/>
      <w:lvlJc w:val="left"/>
      <w:pPr>
        <w:ind w:left="1080" w:hanging="1080"/>
      </w:pPr>
      <w:rPr>
        <w:rFonts w:eastAsia="Calibri"/>
      </w:rPr>
    </w:lvl>
    <w:lvl w:ilvl="5">
      <w:start w:val="1"/>
      <w:numFmt w:val="decimal"/>
      <w:lvlText w:val="%1.%2.%3.%4.%5.%6."/>
      <w:lvlJc w:val="left"/>
      <w:pPr>
        <w:ind w:left="1440" w:hanging="1440"/>
      </w:pPr>
      <w:rPr>
        <w:rFonts w:eastAsia="Calibri"/>
      </w:rPr>
    </w:lvl>
    <w:lvl w:ilvl="6">
      <w:start w:val="1"/>
      <w:numFmt w:val="decimal"/>
      <w:lvlText w:val="%1.%2.%3.%4.%5.%6.%7."/>
      <w:lvlJc w:val="left"/>
      <w:pPr>
        <w:ind w:left="1440" w:hanging="1440"/>
      </w:pPr>
      <w:rPr>
        <w:rFonts w:eastAsia="Calibri"/>
      </w:rPr>
    </w:lvl>
    <w:lvl w:ilvl="7">
      <w:start w:val="1"/>
      <w:numFmt w:val="decimal"/>
      <w:lvlText w:val="%1.%2.%3.%4.%5.%6.%7.%8."/>
      <w:lvlJc w:val="left"/>
      <w:pPr>
        <w:ind w:left="1800" w:hanging="1800"/>
      </w:pPr>
      <w:rPr>
        <w:rFonts w:eastAsia="Calibri"/>
      </w:rPr>
    </w:lvl>
    <w:lvl w:ilvl="8">
      <w:start w:val="1"/>
      <w:numFmt w:val="decimal"/>
      <w:lvlText w:val="%1.%2.%3.%4.%5.%6.%7.%8.%9."/>
      <w:lvlJc w:val="left"/>
      <w:pPr>
        <w:ind w:left="1800" w:hanging="1800"/>
      </w:pPr>
      <w:rPr>
        <w:rFonts w:eastAsia="Calibri"/>
      </w:rPr>
    </w:lvl>
  </w:abstractNum>
  <w:num w:numId="1">
    <w:abstractNumId w:val="1"/>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15="http://schemas.microsoft.com/office/word/2012/wordml" xmlns:mc="http://schemas.openxmlformats.org/markup-compatibility/2006" xmlns:w14="http://schemas.microsoft.com/office/word/2010/wordml" xmlns:w16se="http://schemas.microsoft.com/office/word/2015/wordml/symex" xmlns:wp14="http://schemas.microsoft.com/office/word/2010/wordprocessingDrawing" mc:Ignorable="w14 w15 w16se wp14">
  <w15:person w15:author="JUOSPONIENĖ Karolina">
    <w15:presenceInfo w15:providerId="AD" w15:userId="S-1-5-21-4015230268-3135662936-2741650420-4574"/>
  </w15:person>
</w15:people>
</file>

<file path=word/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zoom w:percent="82"/>
  <w:hideSpellingErrors/>
  <w:hideGrammaticalErrors/>
  <w:proofState w:spelling="clean" w:grammar="clean"/>
  <w:defaultTabStop w:val="720"/>
  <w:hyphenationZone w:val="396"/>
  <w:doNotHyphenateCaps/>
  <w:drawingGridHorizontalSpacing w:val="120"/>
  <w:displayHorizontalDrawingGridEvery w:val="2"/>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E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4:docId w14:val="16E704DD"/>
  <w15:docId w15:val="{A69D77B2-5248-4269-A55E-5A3DD9BDC2DD}"/>
</w:settings>
</file>

<file path=word/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Sraopastraipa">
    <w:name w:val="List Paragraph"/>
    <w:basedOn w:val="prastasis"/>
    <w:uiPriority w:val="34"/>
    <w:qFormat/>
    <w:pPr>
      <w:ind w:left="720"/>
      <w:contextualSpacing/>
    </w:pPr>
  </w:style>
  <w:style w:type="paragraph" w:styleId="Debesliotekstas">
    <w:name w:val="Balloon Text"/>
    <w:basedOn w:val="prastasis"/>
    <w:link w:val="DebesliotekstasDiagrama"/>
    <w:uiPriority w:val="99"/>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Pr>
      <w:rFonts w:ascii="Tahoma" w:hAnsi="Tahoma" w:cs="Tahoma"/>
      <w:sz w:val="16"/>
      <w:szCs w:val="16"/>
    </w:rPr>
  </w:style>
  <w:style w:type="character" w:styleId="Vietosrezervavimoenklotekstas">
    <w:name w:val="Placeholder Text"/>
    <w:basedOn w:val="Numatytasispastraiposriftas"/>
    <w:rPr>
      <w:color w:val="808080"/>
    </w:rPr>
  </w:style>
  <w:style w:type="paragraph" w:styleId="Puslapioinaostekstas">
    <w:name w:val="footnote text"/>
    <w:basedOn w:val="prastasis"/>
    <w:link w:val="PuslapioinaostekstasDiagrama"/>
    <w:unhideWhenUsed/>
    <w:rPr>
      <w:sz w:val="20"/>
      <w:lang w:val="en-GB"/>
    </w:rPr>
  </w:style>
  <w:style w:type="character" w:customStyle="1" w:styleId="PuslapioinaostekstasDiagrama">
    <w:name w:val="Puslapio išnašos tekstas Diagrama"/>
    <w:basedOn w:val="Numatytasispastraiposriftas"/>
    <w:link w:val="Puslapioinaostekstas"/>
    <w:rPr>
      <w:sz w:val="20"/>
      <w:lang w:val="en-GB"/>
    </w:rPr>
  </w:style>
  <w:style w:type="paragraph" w:styleId="Komentarotekstas">
    <w:name w:val="annotation text"/>
    <w:basedOn w:val="prastasis"/>
    <w:link w:val="KomentarotekstasDiagrama"/>
    <w:uiPriority w:val="99"/>
    <w:unhideWhenUsed/>
    <w:pPr>
      <w:spacing w:after="200"/>
    </w:pPr>
    <w:rPr>
      <w:rFonts w:ascii="Calibri" w:eastAsia="Calibri" w:hAnsi="Calibri"/>
      <w:sz w:val="20"/>
    </w:rPr>
  </w:style>
  <w:style w:type="character" w:customStyle="1" w:styleId="KomentarotekstasDiagrama">
    <w:name w:val="Komentaro tekstas Diagrama"/>
    <w:basedOn w:val="Numatytasispastraiposriftas"/>
    <w:link w:val="Komentarotekstas"/>
    <w:uiPriority w:val="99"/>
    <w:rPr>
      <w:rFonts w:ascii="Calibri" w:eastAsia="Calibri" w:hAnsi="Calibri"/>
      <w:sz w:val="20"/>
    </w:rPr>
  </w:style>
  <w:style w:type="paragraph" w:styleId="Dokumentoinaostekstas">
    <w:name w:val="endnote text"/>
    <w:basedOn w:val="prastasis"/>
    <w:link w:val="DokumentoinaostekstasDiagrama"/>
    <w:uiPriority w:val="99"/>
    <w:unhideWhenUsed/>
    <w:pPr>
      <w:spacing w:after="200" w:line="276" w:lineRule="auto"/>
    </w:pPr>
    <w:rPr>
      <w:rFonts w:ascii="Calibri" w:eastAsia="Calibri" w:hAnsi="Calibri"/>
      <w:sz w:val="20"/>
    </w:rPr>
  </w:style>
  <w:style w:type="character" w:customStyle="1" w:styleId="DokumentoinaostekstasDiagrama">
    <w:name w:val="Dokumento išnašos tekstas Diagrama"/>
    <w:basedOn w:val="Numatytasispastraiposriftas"/>
    <w:link w:val="Dokumentoinaostekstas"/>
    <w:uiPriority w:val="99"/>
    <w:rPr>
      <w:rFonts w:ascii="Calibri" w:eastAsia="Calibri" w:hAnsi="Calibri"/>
      <w:sz w:val="20"/>
    </w:rPr>
  </w:style>
  <w:style w:type="paragraph" w:styleId="Komentarotema">
    <w:name w:val="annotation subject"/>
    <w:basedOn w:val="Komentarotekstas"/>
    <w:next w:val="Komentarotekstas"/>
    <w:link w:val="KomentarotemaDiagrama"/>
    <w:uiPriority w:val="99"/>
    <w:unhideWhenUsed/>
    <w:rPr>
      <w:b/>
      <w:bCs/>
    </w:rPr>
  </w:style>
  <w:style w:type="character" w:customStyle="1" w:styleId="KomentarotemaDiagrama">
    <w:name w:val="Komentaro tema Diagrama"/>
    <w:basedOn w:val="KomentarotekstasDiagrama"/>
    <w:link w:val="Komentarotema"/>
    <w:uiPriority w:val="99"/>
    <w:rPr>
      <w:rFonts w:ascii="Calibri" w:eastAsia="Calibri" w:hAnsi="Calibri"/>
      <w:b/>
      <w:bCs/>
      <w:sz w:val="20"/>
    </w:rPr>
  </w:style>
  <w:style w:type="paragraph" w:customStyle="1" w:styleId="Patvirtinta">
    <w:name w:val="Patvirtinta"/>
    <w:basedOn w:val="prastasis"/>
    <w:pPr>
      <w:keepLines/>
      <w:tabs>
        <w:tab w:val="left" w:pos="1304"/>
        <w:tab w:val="left" w:pos="1457"/>
        <w:tab w:val="left" w:pos="1604"/>
        <w:tab w:val="left" w:pos="1757"/>
      </w:tabs>
      <w:suppressAutoHyphens/>
      <w:autoSpaceDE w:val="0"/>
      <w:autoSpaceDN w:val="0"/>
      <w:adjustRightInd w:val="0"/>
      <w:spacing w:line="288" w:lineRule="auto"/>
      <w:ind w:left="5953"/>
    </w:pPr>
    <w:rPr>
      <w:color w:val="000000"/>
      <w:sz w:val="20"/>
      <w:lang w:val="en-US" w:eastAsia="lt-LT"/>
    </w:rPr>
  </w:style>
  <w:style w:type="character" w:styleId="Puslapioinaosnuoroda">
    <w:name w:val="footnote reference"/>
    <w:basedOn w:val="Numatytasispastraiposriftas"/>
    <w:unhideWhenUsed/>
    <w:rPr>
      <w:vertAlign w:val="superscript"/>
    </w:rPr>
  </w:style>
  <w:style w:type="character" w:styleId="Komentaronuoroda">
    <w:name w:val="annotation reference"/>
    <w:basedOn w:val="Numatytasispastraiposriftas"/>
    <w:uiPriority w:val="99"/>
    <w:unhideWhenUsed/>
    <w:rPr>
      <w:sz w:val="16"/>
      <w:szCs w:val="16"/>
    </w:rPr>
  </w:style>
  <w:style w:type="character" w:styleId="Dokumentoinaosnumeris">
    <w:name w:val="endnote reference"/>
    <w:basedOn w:val="Numatytasispastraiposriftas"/>
    <w:uiPriority w:val="99"/>
    <w:unhideWhenUsed/>
    <w:rPr>
      <w:vertAlign w:val="superscript"/>
    </w:rPr>
  </w:style>
  <w:style w:type="character" w:styleId="Grietas">
    <w:name w:val="Strong"/>
    <w:basedOn w:val="Numatytasispastraiposriftas"/>
    <w:uiPriority w:val="22"/>
    <w:qFormat/>
    <w:rPr>
      <w:b/>
      <w:bCs/>
    </w:rPr>
  </w:style>
</w:styles>
</file>

<file path=word/stylesWithEffect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annotation text" w:uiPriority="99"/>
    <w:lsdException w:name="header" w:uiPriority="99"/>
    <w:lsdException w:name="footer" w:uiPriority="99"/>
    <w:lsdException w:name="annotation reference" w:uiPriority="99"/>
    <w:lsdException w:name="endnote reference" w:uiPriority="99"/>
    <w:lsdException w:name="endnote text" w:uiPriority="99"/>
    <w:lsdException w:name="Strong" w:uiPriority="22" w:qFormat="1"/>
    <w:lsdException w:name="annotation subject" w:uiPriority="99"/>
    <w:lsdException w:name="No List" w:uiPriority="99"/>
    <w:lsdException w:name="Balloon Text" w:uiPriority="99"/>
    <w:lsdException w:name="Table Grid" w:uiPriority="59"/>
    <w:lsdException w:name="List Paragraph" w:uiPriority="34"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Sraopastraipa">
    <w:name w:val="List Paragraph"/>
    <w:basedOn w:val="prastasis"/>
    <w:uiPriority w:val="34"/>
    <w:qFormat/>
    <w:pPr>
      <w:ind w:left="720"/>
      <w:contextualSpacing/>
    </w:pPr>
  </w:style>
  <w:style w:type="paragraph" w:styleId="Debesliotekstas">
    <w:name w:val="Balloon Text"/>
    <w:basedOn w:val="prastasis"/>
    <w:link w:val="DebesliotekstasDiagrama"/>
    <w:uiPriority w:val="99"/>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Pr>
      <w:rFonts w:ascii="Tahoma" w:hAnsi="Tahoma" w:cs="Tahoma"/>
      <w:sz w:val="16"/>
      <w:szCs w:val="16"/>
    </w:rPr>
  </w:style>
  <w:style w:type="character" w:styleId="Vietosrezervavimoenklotekstas">
    <w:name w:val="Placeholder Text"/>
    <w:basedOn w:val="Numatytasispastraiposriftas"/>
    <w:rPr>
      <w:color w:val="808080"/>
    </w:rPr>
  </w:style>
  <w:style w:type="paragraph" w:styleId="Puslapioinaostekstas">
    <w:name w:val="footnote text"/>
    <w:basedOn w:val="prastasis"/>
    <w:link w:val="PuslapioinaostekstasDiagrama"/>
    <w:unhideWhenUsed/>
    <w:rPr>
      <w:sz w:val="20"/>
      <w:lang w:val="en-GB"/>
    </w:rPr>
  </w:style>
  <w:style w:type="character" w:customStyle="1" w:styleId="PuslapioinaostekstasDiagrama">
    <w:name w:val="Puslapio išnašos tekstas Diagrama"/>
    <w:basedOn w:val="Numatytasispastraiposriftas"/>
    <w:link w:val="Puslapioinaostekstas"/>
    <w:rPr>
      <w:sz w:val="20"/>
      <w:lang w:val="en-GB"/>
    </w:rPr>
  </w:style>
  <w:style w:type="paragraph" w:styleId="Komentarotekstas">
    <w:name w:val="annotation text"/>
    <w:basedOn w:val="prastasis"/>
    <w:link w:val="KomentarotekstasDiagrama"/>
    <w:uiPriority w:val="99"/>
    <w:unhideWhenUsed/>
    <w:pPr>
      <w:spacing w:after="200"/>
    </w:pPr>
    <w:rPr>
      <w:rFonts w:ascii="Calibri" w:eastAsia="Calibri" w:hAnsi="Calibri"/>
      <w:sz w:val="20"/>
    </w:rPr>
  </w:style>
  <w:style w:type="character" w:customStyle="1" w:styleId="KomentarotekstasDiagrama">
    <w:name w:val="Komentaro tekstas Diagrama"/>
    <w:basedOn w:val="Numatytasispastraiposriftas"/>
    <w:link w:val="Komentarotekstas"/>
    <w:uiPriority w:val="99"/>
    <w:rPr>
      <w:rFonts w:ascii="Calibri" w:eastAsia="Calibri" w:hAnsi="Calibri"/>
      <w:sz w:val="20"/>
    </w:rPr>
  </w:style>
  <w:style w:type="paragraph" w:styleId="Dokumentoinaostekstas">
    <w:name w:val="endnote text"/>
    <w:basedOn w:val="prastasis"/>
    <w:link w:val="DokumentoinaostekstasDiagrama"/>
    <w:uiPriority w:val="99"/>
    <w:unhideWhenUsed/>
    <w:pPr>
      <w:spacing w:after="200" w:line="276" w:lineRule="auto"/>
    </w:pPr>
    <w:rPr>
      <w:rFonts w:ascii="Calibri" w:eastAsia="Calibri" w:hAnsi="Calibri"/>
      <w:sz w:val="20"/>
    </w:rPr>
  </w:style>
  <w:style w:type="character" w:customStyle="1" w:styleId="DokumentoinaostekstasDiagrama">
    <w:name w:val="Dokumento išnašos tekstas Diagrama"/>
    <w:basedOn w:val="Numatytasispastraiposriftas"/>
    <w:link w:val="Dokumentoinaostekstas"/>
    <w:uiPriority w:val="99"/>
    <w:rPr>
      <w:rFonts w:ascii="Calibri" w:eastAsia="Calibri" w:hAnsi="Calibri"/>
      <w:sz w:val="20"/>
    </w:rPr>
  </w:style>
  <w:style w:type="paragraph" w:styleId="Komentarotema">
    <w:name w:val="annotation subject"/>
    <w:basedOn w:val="Komentarotekstas"/>
    <w:next w:val="Komentarotekstas"/>
    <w:link w:val="KomentarotemaDiagrama"/>
    <w:uiPriority w:val="99"/>
    <w:unhideWhenUsed/>
    <w:rPr>
      <w:b/>
      <w:bCs/>
    </w:rPr>
  </w:style>
  <w:style w:type="character" w:customStyle="1" w:styleId="KomentarotemaDiagrama">
    <w:name w:val="Komentaro tema Diagrama"/>
    <w:basedOn w:val="KomentarotekstasDiagrama"/>
    <w:link w:val="Komentarotema"/>
    <w:uiPriority w:val="99"/>
    <w:rPr>
      <w:rFonts w:ascii="Calibri" w:eastAsia="Calibri" w:hAnsi="Calibri"/>
      <w:b/>
      <w:bCs/>
      <w:sz w:val="20"/>
    </w:rPr>
  </w:style>
  <w:style w:type="paragraph" w:customStyle="1" w:styleId="Patvirtinta">
    <w:name w:val="Patvirtinta"/>
    <w:basedOn w:val="prastasis"/>
    <w:pPr>
      <w:keepLines/>
      <w:tabs>
        <w:tab w:val="left" w:pos="1304"/>
        <w:tab w:val="left" w:pos="1457"/>
        <w:tab w:val="left" w:pos="1604"/>
        <w:tab w:val="left" w:pos="1757"/>
      </w:tabs>
      <w:suppressAutoHyphens/>
      <w:autoSpaceDE w:val="0"/>
      <w:autoSpaceDN w:val="0"/>
      <w:adjustRightInd w:val="0"/>
      <w:spacing w:line="288" w:lineRule="auto"/>
      <w:ind w:left="5953"/>
    </w:pPr>
    <w:rPr>
      <w:color w:val="000000"/>
      <w:sz w:val="20"/>
      <w:lang w:val="en-US" w:eastAsia="lt-LT"/>
    </w:rPr>
  </w:style>
  <w:style w:type="character" w:styleId="Puslapioinaosnuoroda">
    <w:name w:val="footnote reference"/>
    <w:basedOn w:val="Numatytasispastraiposriftas"/>
    <w:unhideWhenUsed/>
    <w:rPr>
      <w:vertAlign w:val="superscript"/>
    </w:rPr>
  </w:style>
  <w:style w:type="character" w:styleId="Komentaronuoroda">
    <w:name w:val="annotation reference"/>
    <w:basedOn w:val="Numatytasispastraiposriftas"/>
    <w:uiPriority w:val="99"/>
    <w:unhideWhenUsed/>
    <w:rPr>
      <w:sz w:val="16"/>
      <w:szCs w:val="16"/>
    </w:rPr>
  </w:style>
  <w:style w:type="character" w:styleId="Dokumentoinaosnumeris">
    <w:name w:val="endnote reference"/>
    <w:basedOn w:val="Numatytasispastraiposriftas"/>
    <w:uiPriority w:val="99"/>
    <w:unhideWhenUsed/>
    <w:rPr>
      <w:vertAlign w:val="superscript"/>
    </w:rPr>
  </w:style>
  <w:style w:type="character" w:styleId="Grietas">
    <w:name w:val="Strong"/>
    <w:basedOn w:val="Numatytasispastraiposriftas"/>
    <w:uiPriority w:val="22"/>
    <w:qFormat/>
    <w:rPr>
      <w:b/>
      <w:bCs/>
    </w:rPr>
  </w:style>
</w:styles>
</file>

<file path=word/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optimizeForBrowser/>
</w:webSettings>
</file>

<file path=word/_rels/document.xml.rels><?xml version="1.0" encoding="UTF-8"?>

<Relationships xmlns="http://schemas.openxmlformats.org/package/2006/relationships">
  <Relationship Id="rId1" Type="http://schemas.openxmlformats.org/officeDocument/2006/relationships/endnotes" Target="endnotes.xml"/>
  <Relationship Id="rId10" Type="http://schemas.openxmlformats.org/officeDocument/2006/relationships/header" Target="header34.xml"/>
  <Relationship Id="rId11" Type="http://schemas.openxmlformats.org/officeDocument/2006/relationships/header" Target="header35.xml"/>
  <Relationship Id="rId12" Type="http://schemas.openxmlformats.org/officeDocument/2006/relationships/footer" Target="footer34.xml"/>
  <Relationship Id="rId13" Type="http://schemas.openxmlformats.org/officeDocument/2006/relationships/footer" Target="footer35.xml"/>
  <Relationship Id="rId14" Type="http://schemas.openxmlformats.org/officeDocument/2006/relationships/header" Target="header36.xml"/>
  <Relationship Id="rId15" Type="http://schemas.openxmlformats.org/officeDocument/2006/relationships/footer" Target="footer36.xml"/>
  <Relationship Id="rId16" Type="http://schemas.openxmlformats.org/officeDocument/2006/relationships/image" Target="media/image9.png"/>
  <Relationship Id="rId2" Type="http://schemas.openxmlformats.org/officeDocument/2006/relationships/fontTable" Target="fontTable.xml"/>
  <Relationship Id="rId3" Type="http://schemas.openxmlformats.org/officeDocument/2006/relationships/footnotes" Target="footnotes.xml"/>
  <Relationship Id="rId4" Type="http://schemas.openxmlformats.org/officeDocument/2006/relationships/numbering" Target="numbering.xml"/>
  <Relationship Id="rId5" Type="http://schemas.microsoft.com/office/2011/relationships/people" Target="people.xml"/>
  <Relationship Id="rId6" Type="http://schemas.openxmlformats.org/officeDocument/2006/relationships/settings" Target="settings.xml"/>
  <Relationship Id="rId7" Type="http://schemas.openxmlformats.org/officeDocument/2006/relationships/styles" Target="styles.xml"/>
  <Relationship Id="rId8" Type="http://schemas.openxmlformats.org/officeDocument/2006/relationships/theme" Target="theme/theme1.xml"/>
  <Relationship Id="rId9" Type="http://schemas.openxmlformats.org/officeDocument/2006/relationships/webSettings" Target="webSettings.xml"/>
</Relationships>

</file>

<file path=word/glossary/_rels/document.xml.rels><?xml version="1.0" encoding="UTF-8"?>

<Relationships xmlns="http://schemas.openxmlformats.org/package/2006/relationships">
  <Relationship Id="rId1"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styles" Target="styles.xml"/>
  <Relationship Id="rId4" Type="http://schemas.openxmlformats.org/officeDocument/2006/relationships/webSettings" Target="webSettings.xml"/>
</Relationships>

</file>

<file path=word/glossary/document.xml><?xml version="1.0" encoding="utf-8"?>
<w:glossary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docParts>
    <w:docPart>
      <w:docPartPr>
        <w:name w:val="4C66527A551F4D3388932FE949A62B1C"/>
        <w:category>
          <w:name w:val="Bendrosios nuostatos"/>
          <w:gallery w:val="placeholder"/>
        </w:category>
        <w:types>
          <w:type w:val="bbPlcHdr"/>
        </w:types>
        <w:behaviors>
          <w:behavior w:val="content"/>
        </w:behaviors>
        <w:guid w:val="{8841FBE9-136B-41F3-968F-18E68031A5F1}"/>
      </w:docPartPr>
      <w:docPartBody>
        <w:p>
          <w:pPr>
            <w:pStyle w:val="4C66527A551F4D3388932FE949A62B1C"/>
          </w:pPr>
          <w:r>
            <w:rPr>
              <w:rStyle w:val="Vietosrezervavimoenklotekstas"/>
            </w:rPr>
            <w:t>Norėdami įvesti tekstą, spustelėkite arba bakstelėkite čia.</w:t>
          </w:r>
        </w:p>
      </w:docPartBody>
    </w:docPart>
  </w:docParts>
</w:glossaryDocument>
</file>

<file path=word/glossary/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umberland">
    <w:charset w:val="BA"/>
    <w:family w:val="modern"/>
    <w:pitch w:val="fixed"/>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DAD"/>
    <w:rsid w:val="00157DAD"/>
    <w:rsid w:val="009E78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E7897"/>
    <w:rPr>
      <w:color w:val="808080"/>
    </w:rPr>
  </w:style>
  <w:style w:type="paragraph" w:customStyle="1" w:styleId="78D2FA9D2F494F119961D55F046B4FCA">
    <w:name w:val="78D2FA9D2F494F119961D55F046B4FCA"/>
    <w:rsid w:val="00157DAD"/>
  </w:style>
  <w:style w:type="paragraph" w:customStyle="1" w:styleId="4C66527A551F4D3388932FE949A62B1C">
    <w:name w:val="4C66527A551F4D3388932FE949A62B1C"/>
    <w:rsid w:val="009E7897"/>
  </w:style>
</w:styles>
</file>

<file path=word/glossary/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Template>Normal.dotm</Template>
  <TotalTime>108</TotalTime>
  <Pages>26</Pages>
  <Words>9821</Words>
  <Characters>68969</Characters>
  <Application>Microsoft Office Word</Application>
  <DocSecurity>0</DocSecurity>
  <Lines>574</Lines>
  <Paragraphs>157</Paragraphs>
  <ScaleCrop>false</ScaleCrop>
  <HeadingPairs>
    <vt:vector xmlns:vt="http://schemas.openxmlformats.org/officeDocument/2006/docPropsVTypes" size="4" baseType="variant">
      <vt:variant>
        <vt:lpstr>Pavadinimas</vt:lpstr>
      </vt:variant>
      <vt:variant>
        <vt:i4>1</vt:i4>
      </vt:variant>
      <vt:variant>
        <vt:lpstr>Title</vt:lpstr>
      </vt:variant>
      <vt:variant>
        <vt:i4>1</vt:i4>
      </vt:variant>
    </vt:vector>
  </HeadingPairs>
  <TitlesOfParts>
    <vt:vector xmlns:vt="http://schemas.openxmlformats.org/officeDocument/2006/docPropsVTypes" size="2" baseType="lpstr">
      <vt:lpstr>PATVIRTINTA</vt:lpstr>
      <vt:lpstr>PATVIRTINTA</vt:lpstr>
    </vt:vector>
  </TitlesOfParts>
  <Company>AM</Company>
  <LinksUpToDate>false</LinksUpToDate>
  <CharactersWithSpaces>78633</CharactersWithSpaces>
  <SharedDoc>false</SharedDoc>
  <HyperlinkBase/>
  <HLinks>
    <vt:vector xmlns:vt="http://schemas.openxmlformats.org/officeDocument/2006/docPropsVTypes" size="372" baseType="variant">
      <vt:variant>
        <vt:i4>1310820</vt:i4>
      </vt:variant>
      <vt:variant>
        <vt:i4>183</vt:i4>
      </vt:variant>
      <vt:variant>
        <vt:i4>0</vt:i4>
      </vt:variant>
      <vt:variant>
        <vt:i4>5</vt:i4>
      </vt:variant>
      <vt:variant>
        <vt:lpwstr>http://ec.europa.eu/environment/gpp/toolkit_en.htm</vt:lpwstr>
      </vt:variant>
      <vt:variant>
        <vt:lpwstr/>
      </vt:variant>
      <vt:variant>
        <vt:i4>917579</vt:i4>
      </vt:variant>
      <vt:variant>
        <vt:i4>180</vt:i4>
      </vt:variant>
      <vt:variant>
        <vt:i4>0</vt:i4>
      </vt:variant>
      <vt:variant>
        <vt:i4>5</vt:i4>
      </vt:variant>
      <vt:variant>
        <vt:lpwstr>http://ec.europa.eu/environment/gpp/buying_handbook_en.htm</vt:lpwstr>
      </vt:variant>
      <vt:variant>
        <vt:lpwstr/>
      </vt:variant>
      <vt:variant>
        <vt:i4>2162727</vt:i4>
      </vt:variant>
      <vt:variant>
        <vt:i4>177</vt:i4>
      </vt:variant>
      <vt:variant>
        <vt:i4>0</vt:i4>
      </vt:variant>
      <vt:variant>
        <vt:i4>5</vt:i4>
      </vt:variant>
      <vt:variant>
        <vt:lpwstr>http://litlex.am.lt/ll.dll?Tekstas=1&amp;Id=132426&amp;BF=1</vt:lpwstr>
      </vt:variant>
      <vt:variant>
        <vt:lpwstr/>
      </vt:variant>
      <vt:variant>
        <vt:i4>1441867</vt:i4>
      </vt:variant>
      <vt:variant>
        <vt:i4>174</vt:i4>
      </vt:variant>
      <vt:variant>
        <vt:i4>0</vt:i4>
      </vt:variant>
      <vt:variant>
        <vt:i4>5</vt:i4>
      </vt:variant>
      <vt:variant>
        <vt:lpwstr>http://www3.lrs.lt/pls/inter/dokpaieska.showdoc_l?p_id=321800</vt:lpwstr>
      </vt:variant>
      <vt:variant>
        <vt:lpwstr/>
      </vt:variant>
      <vt:variant>
        <vt:i4>1048653</vt:i4>
      </vt:variant>
      <vt:variant>
        <vt:i4>171</vt:i4>
      </vt:variant>
      <vt:variant>
        <vt:i4>0</vt:i4>
      </vt:variant>
      <vt:variant>
        <vt:i4>5</vt:i4>
      </vt:variant>
      <vt:variant>
        <vt:lpwstr>http://www3.lrs.lt/pls/inter/dokpaieska.showdoc_l?p_id=292540</vt:lpwstr>
      </vt:variant>
      <vt:variant>
        <vt:lpwstr/>
      </vt:variant>
      <vt:variant>
        <vt:i4>1900609</vt:i4>
      </vt:variant>
      <vt:variant>
        <vt:i4>168</vt:i4>
      </vt:variant>
      <vt:variant>
        <vt:i4>0</vt:i4>
      </vt:variant>
      <vt:variant>
        <vt:i4>5</vt:i4>
      </vt:variant>
      <vt:variant>
        <vt:lpwstr>http://www3.lrs.lt/pls/inter/dokpaieska.showdoc_l?p_id=262695</vt:lpwstr>
      </vt:variant>
      <vt:variant>
        <vt:lpwstr/>
      </vt:variant>
      <vt:variant>
        <vt:i4>1507392</vt:i4>
      </vt:variant>
      <vt:variant>
        <vt:i4>165</vt:i4>
      </vt:variant>
      <vt:variant>
        <vt:i4>0</vt:i4>
      </vt:variant>
      <vt:variant>
        <vt:i4>5</vt:i4>
      </vt:variant>
      <vt:variant>
        <vt:lpwstr>http://www3.lrs.lt/pls/inter/dokpaieska.showdoc_l?p_id=266775</vt:lpwstr>
      </vt:variant>
      <vt:variant>
        <vt:lpwstr/>
      </vt:variant>
      <vt:variant>
        <vt:i4>1572933</vt:i4>
      </vt:variant>
      <vt:variant>
        <vt:i4>162</vt:i4>
      </vt:variant>
      <vt:variant>
        <vt:i4>0</vt:i4>
      </vt:variant>
      <vt:variant>
        <vt:i4>5</vt:i4>
      </vt:variant>
      <vt:variant>
        <vt:lpwstr>http://www3.lrs.lt/pls/inter/dokpaieska.showdoc_l?p_id=179348</vt:lpwstr>
      </vt:variant>
      <vt:variant>
        <vt:lpwstr/>
      </vt:variant>
      <vt:variant>
        <vt:i4>1245248</vt:i4>
      </vt:variant>
      <vt:variant>
        <vt:i4>159</vt:i4>
      </vt:variant>
      <vt:variant>
        <vt:i4>0</vt:i4>
      </vt:variant>
      <vt:variant>
        <vt:i4>5</vt:i4>
      </vt:variant>
      <vt:variant>
        <vt:lpwstr>http://www3.lrs.lt/pls/inter/dokpaieska.showdoc_l?p_id=121371</vt:lpwstr>
      </vt:variant>
      <vt:variant>
        <vt:lpwstr/>
      </vt:variant>
      <vt:variant>
        <vt:i4>2162727</vt:i4>
      </vt:variant>
      <vt:variant>
        <vt:i4>156</vt:i4>
      </vt:variant>
      <vt:variant>
        <vt:i4>0</vt:i4>
      </vt:variant>
      <vt:variant>
        <vt:i4>5</vt:i4>
      </vt:variant>
      <vt:variant>
        <vt:lpwstr>http://litlex.am.lt/ll.dll?Tekstas=1&amp;Id=132426&amp;BF=1</vt:lpwstr>
      </vt:variant>
      <vt:variant>
        <vt:lpwstr/>
      </vt:variant>
      <vt:variant>
        <vt:i4>1441867</vt:i4>
      </vt:variant>
      <vt:variant>
        <vt:i4>153</vt:i4>
      </vt:variant>
      <vt:variant>
        <vt:i4>0</vt:i4>
      </vt:variant>
      <vt:variant>
        <vt:i4>5</vt:i4>
      </vt:variant>
      <vt:variant>
        <vt:lpwstr>http://www3.lrs.lt/pls/inter/dokpaieska.showdoc_l?p_id=321800</vt:lpwstr>
      </vt:variant>
      <vt:variant>
        <vt:lpwstr/>
      </vt:variant>
      <vt:variant>
        <vt:i4>1048653</vt:i4>
      </vt:variant>
      <vt:variant>
        <vt:i4>150</vt:i4>
      </vt:variant>
      <vt:variant>
        <vt:i4>0</vt:i4>
      </vt:variant>
      <vt:variant>
        <vt:i4>5</vt:i4>
      </vt:variant>
      <vt:variant>
        <vt:lpwstr>http://www3.lrs.lt/pls/inter/dokpaieska.showdoc_l?p_id=292540</vt:lpwstr>
      </vt:variant>
      <vt:variant>
        <vt:lpwstr/>
      </vt:variant>
      <vt:variant>
        <vt:i4>1900609</vt:i4>
      </vt:variant>
      <vt:variant>
        <vt:i4>147</vt:i4>
      </vt:variant>
      <vt:variant>
        <vt:i4>0</vt:i4>
      </vt:variant>
      <vt:variant>
        <vt:i4>5</vt:i4>
      </vt:variant>
      <vt:variant>
        <vt:lpwstr>http://www3.lrs.lt/pls/inter/dokpaieska.showdoc_l?p_id=262695</vt:lpwstr>
      </vt:variant>
      <vt:variant>
        <vt:lpwstr/>
      </vt:variant>
      <vt:variant>
        <vt:i4>1507392</vt:i4>
      </vt:variant>
      <vt:variant>
        <vt:i4>144</vt:i4>
      </vt:variant>
      <vt:variant>
        <vt:i4>0</vt:i4>
      </vt:variant>
      <vt:variant>
        <vt:i4>5</vt:i4>
      </vt:variant>
      <vt:variant>
        <vt:lpwstr>http://www3.lrs.lt/pls/inter/dokpaieska.showdoc_l?p_id=266775</vt:lpwstr>
      </vt:variant>
      <vt:variant>
        <vt:lpwstr/>
      </vt:variant>
      <vt:variant>
        <vt:i4>1572933</vt:i4>
      </vt:variant>
      <vt:variant>
        <vt:i4>141</vt:i4>
      </vt:variant>
      <vt:variant>
        <vt:i4>0</vt:i4>
      </vt:variant>
      <vt:variant>
        <vt:i4>5</vt:i4>
      </vt:variant>
      <vt:variant>
        <vt:lpwstr>http://www3.lrs.lt/pls/inter/dokpaieska.showdoc_l?p_id=179348</vt:lpwstr>
      </vt:variant>
      <vt:variant>
        <vt:lpwstr/>
      </vt:variant>
      <vt:variant>
        <vt:i4>1245248</vt:i4>
      </vt:variant>
      <vt:variant>
        <vt:i4>138</vt:i4>
      </vt:variant>
      <vt:variant>
        <vt:i4>0</vt:i4>
      </vt:variant>
      <vt:variant>
        <vt:i4>5</vt:i4>
      </vt:variant>
      <vt:variant>
        <vt:lpwstr>http://www3.lrs.lt/pls/inter/dokpaieska.showdoc_l?p_id=121371</vt:lpwstr>
      </vt:variant>
      <vt:variant>
        <vt:lpwstr/>
      </vt:variant>
      <vt:variant>
        <vt:i4>2162727</vt:i4>
      </vt:variant>
      <vt:variant>
        <vt:i4>135</vt:i4>
      </vt:variant>
      <vt:variant>
        <vt:i4>0</vt:i4>
      </vt:variant>
      <vt:variant>
        <vt:i4>5</vt:i4>
      </vt:variant>
      <vt:variant>
        <vt:lpwstr>http://litlex.am.lt/ll.dll?Tekstas=1&amp;Id=132426&amp;BF=1</vt:lpwstr>
      </vt:variant>
      <vt:variant>
        <vt:lpwstr/>
      </vt:variant>
      <vt:variant>
        <vt:i4>1441867</vt:i4>
      </vt:variant>
      <vt:variant>
        <vt:i4>132</vt:i4>
      </vt:variant>
      <vt:variant>
        <vt:i4>0</vt:i4>
      </vt:variant>
      <vt:variant>
        <vt:i4>5</vt:i4>
      </vt:variant>
      <vt:variant>
        <vt:lpwstr>http://www3.lrs.lt/pls/inter/dokpaieska.showdoc_l?p_id=321800</vt:lpwstr>
      </vt:variant>
      <vt:variant>
        <vt:lpwstr/>
      </vt:variant>
      <vt:variant>
        <vt:i4>1048653</vt:i4>
      </vt:variant>
      <vt:variant>
        <vt:i4>129</vt:i4>
      </vt:variant>
      <vt:variant>
        <vt:i4>0</vt:i4>
      </vt:variant>
      <vt:variant>
        <vt:i4>5</vt:i4>
      </vt:variant>
      <vt:variant>
        <vt:lpwstr>http://www3.lrs.lt/pls/inter/dokpaieska.showdoc_l?p_id=292540</vt:lpwstr>
      </vt:variant>
      <vt:variant>
        <vt:lpwstr/>
      </vt:variant>
      <vt:variant>
        <vt:i4>1900609</vt:i4>
      </vt:variant>
      <vt:variant>
        <vt:i4>126</vt:i4>
      </vt:variant>
      <vt:variant>
        <vt:i4>0</vt:i4>
      </vt:variant>
      <vt:variant>
        <vt:i4>5</vt:i4>
      </vt:variant>
      <vt:variant>
        <vt:lpwstr>http://www3.lrs.lt/pls/inter/dokpaieska.showdoc_l?p_id=262695</vt:lpwstr>
      </vt:variant>
      <vt:variant>
        <vt:lpwstr/>
      </vt:variant>
      <vt:variant>
        <vt:i4>1507392</vt:i4>
      </vt:variant>
      <vt:variant>
        <vt:i4>123</vt:i4>
      </vt:variant>
      <vt:variant>
        <vt:i4>0</vt:i4>
      </vt:variant>
      <vt:variant>
        <vt:i4>5</vt:i4>
      </vt:variant>
      <vt:variant>
        <vt:lpwstr>http://www3.lrs.lt/pls/inter/dokpaieska.showdoc_l?p_id=266775</vt:lpwstr>
      </vt:variant>
      <vt:variant>
        <vt:lpwstr/>
      </vt:variant>
      <vt:variant>
        <vt:i4>1572933</vt:i4>
      </vt:variant>
      <vt:variant>
        <vt:i4>120</vt:i4>
      </vt:variant>
      <vt:variant>
        <vt:i4>0</vt:i4>
      </vt:variant>
      <vt:variant>
        <vt:i4>5</vt:i4>
      </vt:variant>
      <vt:variant>
        <vt:lpwstr>http://www3.lrs.lt/pls/inter/dokpaieska.showdoc_l?p_id=179348</vt:lpwstr>
      </vt:variant>
      <vt:variant>
        <vt:lpwstr/>
      </vt:variant>
      <vt:variant>
        <vt:i4>1245248</vt:i4>
      </vt:variant>
      <vt:variant>
        <vt:i4>117</vt:i4>
      </vt:variant>
      <vt:variant>
        <vt:i4>0</vt:i4>
      </vt:variant>
      <vt:variant>
        <vt:i4>5</vt:i4>
      </vt:variant>
      <vt:variant>
        <vt:lpwstr>http://www3.lrs.lt/pls/inter/dokpaieska.showdoc_l?p_id=121371</vt:lpwstr>
      </vt:variant>
      <vt:variant>
        <vt:lpwstr/>
      </vt:variant>
      <vt:variant>
        <vt:i4>2162727</vt:i4>
      </vt:variant>
      <vt:variant>
        <vt:i4>114</vt:i4>
      </vt:variant>
      <vt:variant>
        <vt:i4>0</vt:i4>
      </vt:variant>
      <vt:variant>
        <vt:i4>5</vt:i4>
      </vt:variant>
      <vt:variant>
        <vt:lpwstr>http://litlex.am.lt/ll.dll?Tekstas=1&amp;Id=132426&amp;BF=1</vt:lpwstr>
      </vt:variant>
      <vt:variant>
        <vt:lpwstr/>
      </vt:variant>
      <vt:variant>
        <vt:i4>1441867</vt:i4>
      </vt:variant>
      <vt:variant>
        <vt:i4>111</vt:i4>
      </vt:variant>
      <vt:variant>
        <vt:i4>0</vt:i4>
      </vt:variant>
      <vt:variant>
        <vt:i4>5</vt:i4>
      </vt:variant>
      <vt:variant>
        <vt:lpwstr>http://www3.lrs.lt/pls/inter/dokpaieska.showdoc_l?p_id=321800</vt:lpwstr>
      </vt:variant>
      <vt:variant>
        <vt:lpwstr/>
      </vt:variant>
      <vt:variant>
        <vt:i4>1048653</vt:i4>
      </vt:variant>
      <vt:variant>
        <vt:i4>108</vt:i4>
      </vt:variant>
      <vt:variant>
        <vt:i4>0</vt:i4>
      </vt:variant>
      <vt:variant>
        <vt:i4>5</vt:i4>
      </vt:variant>
      <vt:variant>
        <vt:lpwstr>http://www3.lrs.lt/pls/inter/dokpaieska.showdoc_l?p_id=292540</vt:lpwstr>
      </vt:variant>
      <vt:variant>
        <vt:lpwstr/>
      </vt:variant>
      <vt:variant>
        <vt:i4>1900609</vt:i4>
      </vt:variant>
      <vt:variant>
        <vt:i4>105</vt:i4>
      </vt:variant>
      <vt:variant>
        <vt:i4>0</vt:i4>
      </vt:variant>
      <vt:variant>
        <vt:i4>5</vt:i4>
      </vt:variant>
      <vt:variant>
        <vt:lpwstr>http://www3.lrs.lt/pls/inter/dokpaieska.showdoc_l?p_id=262695</vt:lpwstr>
      </vt:variant>
      <vt:variant>
        <vt:lpwstr/>
      </vt:variant>
      <vt:variant>
        <vt:i4>1507392</vt:i4>
      </vt:variant>
      <vt:variant>
        <vt:i4>102</vt:i4>
      </vt:variant>
      <vt:variant>
        <vt:i4>0</vt:i4>
      </vt:variant>
      <vt:variant>
        <vt:i4>5</vt:i4>
      </vt:variant>
      <vt:variant>
        <vt:lpwstr>http://www3.lrs.lt/pls/inter/dokpaieska.showdoc_l?p_id=266775</vt:lpwstr>
      </vt:variant>
      <vt:variant>
        <vt:lpwstr/>
      </vt:variant>
      <vt:variant>
        <vt:i4>1572933</vt:i4>
      </vt:variant>
      <vt:variant>
        <vt:i4>99</vt:i4>
      </vt:variant>
      <vt:variant>
        <vt:i4>0</vt:i4>
      </vt:variant>
      <vt:variant>
        <vt:i4>5</vt:i4>
      </vt:variant>
      <vt:variant>
        <vt:lpwstr>http://www3.lrs.lt/pls/inter/dokpaieska.showdoc_l?p_id=179348</vt:lpwstr>
      </vt:variant>
      <vt:variant>
        <vt:lpwstr/>
      </vt:variant>
      <vt:variant>
        <vt:i4>1245248</vt:i4>
      </vt:variant>
      <vt:variant>
        <vt:i4>96</vt:i4>
      </vt:variant>
      <vt:variant>
        <vt:i4>0</vt:i4>
      </vt:variant>
      <vt:variant>
        <vt:i4>5</vt:i4>
      </vt:variant>
      <vt:variant>
        <vt:lpwstr>http://www3.lrs.lt/pls/inter/dokpaieska.showdoc_l?p_id=121371</vt:lpwstr>
      </vt:variant>
      <vt:variant>
        <vt:lpwstr/>
      </vt:variant>
      <vt:variant>
        <vt:i4>2162727</vt:i4>
      </vt:variant>
      <vt:variant>
        <vt:i4>93</vt:i4>
      </vt:variant>
      <vt:variant>
        <vt:i4>0</vt:i4>
      </vt:variant>
      <vt:variant>
        <vt:i4>5</vt:i4>
      </vt:variant>
      <vt:variant>
        <vt:lpwstr>http://litlex.am.lt/ll.dll?Tekstas=1&amp;Id=132426&amp;BF=1</vt:lpwstr>
      </vt:variant>
      <vt:variant>
        <vt:lpwstr/>
      </vt:variant>
      <vt:variant>
        <vt:i4>1441867</vt:i4>
      </vt:variant>
      <vt:variant>
        <vt:i4>90</vt:i4>
      </vt:variant>
      <vt:variant>
        <vt:i4>0</vt:i4>
      </vt:variant>
      <vt:variant>
        <vt:i4>5</vt:i4>
      </vt:variant>
      <vt:variant>
        <vt:lpwstr>http://www3.lrs.lt/pls/inter/dokpaieska.showdoc_l?p_id=321800</vt:lpwstr>
      </vt:variant>
      <vt:variant>
        <vt:lpwstr/>
      </vt:variant>
      <vt:variant>
        <vt:i4>1048653</vt:i4>
      </vt:variant>
      <vt:variant>
        <vt:i4>87</vt:i4>
      </vt:variant>
      <vt:variant>
        <vt:i4>0</vt:i4>
      </vt:variant>
      <vt:variant>
        <vt:i4>5</vt:i4>
      </vt:variant>
      <vt:variant>
        <vt:lpwstr>http://www3.lrs.lt/pls/inter/dokpaieska.showdoc_l?p_id=292540</vt:lpwstr>
      </vt:variant>
      <vt:variant>
        <vt:lpwstr/>
      </vt:variant>
      <vt:variant>
        <vt:i4>1900609</vt:i4>
      </vt:variant>
      <vt:variant>
        <vt:i4>84</vt:i4>
      </vt:variant>
      <vt:variant>
        <vt:i4>0</vt:i4>
      </vt:variant>
      <vt:variant>
        <vt:i4>5</vt:i4>
      </vt:variant>
      <vt:variant>
        <vt:lpwstr>http://www3.lrs.lt/pls/inter/dokpaieska.showdoc_l?p_id=262695</vt:lpwstr>
      </vt:variant>
      <vt:variant>
        <vt:lpwstr/>
      </vt:variant>
      <vt:variant>
        <vt:i4>1507392</vt:i4>
      </vt:variant>
      <vt:variant>
        <vt:i4>81</vt:i4>
      </vt:variant>
      <vt:variant>
        <vt:i4>0</vt:i4>
      </vt:variant>
      <vt:variant>
        <vt:i4>5</vt:i4>
      </vt:variant>
      <vt:variant>
        <vt:lpwstr>http://www3.lrs.lt/pls/inter/dokpaieska.showdoc_l?p_id=266775</vt:lpwstr>
      </vt:variant>
      <vt:variant>
        <vt:lpwstr/>
      </vt:variant>
      <vt:variant>
        <vt:i4>1572933</vt:i4>
      </vt:variant>
      <vt:variant>
        <vt:i4>78</vt:i4>
      </vt:variant>
      <vt:variant>
        <vt:i4>0</vt:i4>
      </vt:variant>
      <vt:variant>
        <vt:i4>5</vt:i4>
      </vt:variant>
      <vt:variant>
        <vt:lpwstr>http://www3.lrs.lt/pls/inter/dokpaieska.showdoc_l?p_id=179348</vt:lpwstr>
      </vt:variant>
      <vt:variant>
        <vt:lpwstr/>
      </vt:variant>
      <vt:variant>
        <vt:i4>1245248</vt:i4>
      </vt:variant>
      <vt:variant>
        <vt:i4>75</vt:i4>
      </vt:variant>
      <vt:variant>
        <vt:i4>0</vt:i4>
      </vt:variant>
      <vt:variant>
        <vt:i4>5</vt:i4>
      </vt:variant>
      <vt:variant>
        <vt:lpwstr>http://www3.lrs.lt/pls/inter/dokpaieska.showdoc_l?p_id=121371</vt:lpwstr>
      </vt:variant>
      <vt:variant>
        <vt:lpwstr/>
      </vt:variant>
      <vt:variant>
        <vt:i4>2162727</vt:i4>
      </vt:variant>
      <vt:variant>
        <vt:i4>72</vt:i4>
      </vt:variant>
      <vt:variant>
        <vt:i4>0</vt:i4>
      </vt:variant>
      <vt:variant>
        <vt:i4>5</vt:i4>
      </vt:variant>
      <vt:variant>
        <vt:lpwstr>http://litlex.am.lt/ll.dll?Tekstas=1&amp;Id=132426&amp;BF=1</vt:lpwstr>
      </vt:variant>
      <vt:variant>
        <vt:lpwstr/>
      </vt:variant>
      <vt:variant>
        <vt:i4>1441867</vt:i4>
      </vt:variant>
      <vt:variant>
        <vt:i4>69</vt:i4>
      </vt:variant>
      <vt:variant>
        <vt:i4>0</vt:i4>
      </vt:variant>
      <vt:variant>
        <vt:i4>5</vt:i4>
      </vt:variant>
      <vt:variant>
        <vt:lpwstr>http://www3.lrs.lt/pls/inter/dokpaieska.showdoc_l?p_id=321800</vt:lpwstr>
      </vt:variant>
      <vt:variant>
        <vt:lpwstr/>
      </vt:variant>
      <vt:variant>
        <vt:i4>1048653</vt:i4>
      </vt:variant>
      <vt:variant>
        <vt:i4>66</vt:i4>
      </vt:variant>
      <vt:variant>
        <vt:i4>0</vt:i4>
      </vt:variant>
      <vt:variant>
        <vt:i4>5</vt:i4>
      </vt:variant>
      <vt:variant>
        <vt:lpwstr>http://www3.lrs.lt/pls/inter/dokpaieska.showdoc_l?p_id=292540</vt:lpwstr>
      </vt:variant>
      <vt:variant>
        <vt:lpwstr/>
      </vt:variant>
      <vt:variant>
        <vt:i4>1900609</vt:i4>
      </vt:variant>
      <vt:variant>
        <vt:i4>63</vt:i4>
      </vt:variant>
      <vt:variant>
        <vt:i4>0</vt:i4>
      </vt:variant>
      <vt:variant>
        <vt:i4>5</vt:i4>
      </vt:variant>
      <vt:variant>
        <vt:lpwstr>http://www3.lrs.lt/pls/inter/dokpaieska.showdoc_l?p_id=262695</vt:lpwstr>
      </vt:variant>
      <vt:variant>
        <vt:lpwstr/>
      </vt:variant>
      <vt:variant>
        <vt:i4>1507392</vt:i4>
      </vt:variant>
      <vt:variant>
        <vt:i4>60</vt:i4>
      </vt:variant>
      <vt:variant>
        <vt:i4>0</vt:i4>
      </vt:variant>
      <vt:variant>
        <vt:i4>5</vt:i4>
      </vt:variant>
      <vt:variant>
        <vt:lpwstr>http://www3.lrs.lt/pls/inter/dokpaieska.showdoc_l?p_id=266775</vt:lpwstr>
      </vt:variant>
      <vt:variant>
        <vt:lpwstr/>
      </vt:variant>
      <vt:variant>
        <vt:i4>1572933</vt:i4>
      </vt:variant>
      <vt:variant>
        <vt:i4>57</vt:i4>
      </vt:variant>
      <vt:variant>
        <vt:i4>0</vt:i4>
      </vt:variant>
      <vt:variant>
        <vt:i4>5</vt:i4>
      </vt:variant>
      <vt:variant>
        <vt:lpwstr>http://www3.lrs.lt/pls/inter/dokpaieska.showdoc_l?p_id=179348</vt:lpwstr>
      </vt:variant>
      <vt:variant>
        <vt:lpwstr/>
      </vt:variant>
      <vt:variant>
        <vt:i4>1245248</vt:i4>
      </vt:variant>
      <vt:variant>
        <vt:i4>54</vt:i4>
      </vt:variant>
      <vt:variant>
        <vt:i4>0</vt:i4>
      </vt:variant>
      <vt:variant>
        <vt:i4>5</vt:i4>
      </vt:variant>
      <vt:variant>
        <vt:lpwstr>http://www3.lrs.lt/pls/inter/dokpaieska.showdoc_l?p_id=121371</vt:lpwstr>
      </vt:variant>
      <vt:variant>
        <vt:lpwstr/>
      </vt:variant>
      <vt:variant>
        <vt:i4>2162727</vt:i4>
      </vt:variant>
      <vt:variant>
        <vt:i4>51</vt:i4>
      </vt:variant>
      <vt:variant>
        <vt:i4>0</vt:i4>
      </vt:variant>
      <vt:variant>
        <vt:i4>5</vt:i4>
      </vt:variant>
      <vt:variant>
        <vt:lpwstr>http://litlex.am.lt/ll.dll?Tekstas=1&amp;Id=132426&amp;BF=1</vt:lpwstr>
      </vt:variant>
      <vt:variant>
        <vt:lpwstr/>
      </vt:variant>
      <vt:variant>
        <vt:i4>1441867</vt:i4>
      </vt:variant>
      <vt:variant>
        <vt:i4>48</vt:i4>
      </vt:variant>
      <vt:variant>
        <vt:i4>0</vt:i4>
      </vt:variant>
      <vt:variant>
        <vt:i4>5</vt:i4>
      </vt:variant>
      <vt:variant>
        <vt:lpwstr>http://www3.lrs.lt/pls/inter/dokpaieska.showdoc_l?p_id=321800</vt:lpwstr>
      </vt:variant>
      <vt:variant>
        <vt:lpwstr/>
      </vt:variant>
      <vt:variant>
        <vt:i4>1048653</vt:i4>
      </vt:variant>
      <vt:variant>
        <vt:i4>45</vt:i4>
      </vt:variant>
      <vt:variant>
        <vt:i4>0</vt:i4>
      </vt:variant>
      <vt:variant>
        <vt:i4>5</vt:i4>
      </vt:variant>
      <vt:variant>
        <vt:lpwstr>http://www3.lrs.lt/pls/inter/dokpaieska.showdoc_l?p_id=292540</vt:lpwstr>
      </vt:variant>
      <vt:variant>
        <vt:lpwstr/>
      </vt:variant>
      <vt:variant>
        <vt:i4>1900609</vt:i4>
      </vt:variant>
      <vt:variant>
        <vt:i4>42</vt:i4>
      </vt:variant>
      <vt:variant>
        <vt:i4>0</vt:i4>
      </vt:variant>
      <vt:variant>
        <vt:i4>5</vt:i4>
      </vt:variant>
      <vt:variant>
        <vt:lpwstr>http://www3.lrs.lt/pls/inter/dokpaieska.showdoc_l?p_id=262695</vt:lpwstr>
      </vt:variant>
      <vt:variant>
        <vt:lpwstr/>
      </vt:variant>
      <vt:variant>
        <vt:i4>1507392</vt:i4>
      </vt:variant>
      <vt:variant>
        <vt:i4>39</vt:i4>
      </vt:variant>
      <vt:variant>
        <vt:i4>0</vt:i4>
      </vt:variant>
      <vt:variant>
        <vt:i4>5</vt:i4>
      </vt:variant>
      <vt:variant>
        <vt:lpwstr>http://www3.lrs.lt/pls/inter/dokpaieska.showdoc_l?p_id=266775</vt:lpwstr>
      </vt:variant>
      <vt:variant>
        <vt:lpwstr/>
      </vt:variant>
      <vt:variant>
        <vt:i4>1572933</vt:i4>
      </vt:variant>
      <vt:variant>
        <vt:i4>36</vt:i4>
      </vt:variant>
      <vt:variant>
        <vt:i4>0</vt:i4>
      </vt:variant>
      <vt:variant>
        <vt:i4>5</vt:i4>
      </vt:variant>
      <vt:variant>
        <vt:lpwstr>http://www3.lrs.lt/pls/inter/dokpaieska.showdoc_l?p_id=179348</vt:lpwstr>
      </vt:variant>
      <vt:variant>
        <vt:lpwstr/>
      </vt:variant>
      <vt:variant>
        <vt:i4>1245248</vt:i4>
      </vt:variant>
      <vt:variant>
        <vt:i4>33</vt:i4>
      </vt:variant>
      <vt:variant>
        <vt:i4>0</vt:i4>
      </vt:variant>
      <vt:variant>
        <vt:i4>5</vt:i4>
      </vt:variant>
      <vt:variant>
        <vt:lpwstr>http://www3.lrs.lt/pls/inter/dokpaieska.showdoc_l?p_id=121371</vt:lpwstr>
      </vt:variant>
      <vt:variant>
        <vt:lpwstr/>
      </vt:variant>
      <vt:variant>
        <vt:i4>2162727</vt:i4>
      </vt:variant>
      <vt:variant>
        <vt:i4>30</vt:i4>
      </vt:variant>
      <vt:variant>
        <vt:i4>0</vt:i4>
      </vt:variant>
      <vt:variant>
        <vt:i4>5</vt:i4>
      </vt:variant>
      <vt:variant>
        <vt:lpwstr>http://litlex.am.lt/ll.dll?Tekstas=1&amp;Id=132426&amp;BF=1</vt:lpwstr>
      </vt:variant>
      <vt:variant>
        <vt:lpwstr/>
      </vt:variant>
      <vt:variant>
        <vt:i4>2162727</vt:i4>
      </vt:variant>
      <vt:variant>
        <vt:i4>27</vt:i4>
      </vt:variant>
      <vt:variant>
        <vt:i4>0</vt:i4>
      </vt:variant>
      <vt:variant>
        <vt:i4>5</vt:i4>
      </vt:variant>
      <vt:variant>
        <vt:lpwstr>http://litlex.am.lt/ll.dll?Tekstas=1&amp;Id=132426&amp;BF=1</vt:lpwstr>
      </vt:variant>
      <vt:variant>
        <vt:lpwstr/>
      </vt:variant>
      <vt:variant>
        <vt:i4>2162727</vt:i4>
      </vt:variant>
      <vt:variant>
        <vt:i4>24</vt:i4>
      </vt:variant>
      <vt:variant>
        <vt:i4>0</vt:i4>
      </vt:variant>
      <vt:variant>
        <vt:i4>5</vt:i4>
      </vt:variant>
      <vt:variant>
        <vt:lpwstr>http://litlex.am.lt/ll.dll?Tekstas=1&amp;Id=132426&amp;BF=1</vt:lpwstr>
      </vt:variant>
      <vt:variant>
        <vt:lpwstr/>
      </vt:variant>
      <vt:variant>
        <vt:i4>5767236</vt:i4>
      </vt:variant>
      <vt:variant>
        <vt:i4>21</vt:i4>
      </vt:variant>
      <vt:variant>
        <vt:i4>0</vt:i4>
      </vt:variant>
      <vt:variant>
        <vt:i4>5</vt:i4>
      </vt:variant>
      <vt:variant>
        <vt:lpwstr>https://www.e-tar.lt/portal/lt/legalAct/TAR.F89F0CCD3487</vt:lpwstr>
      </vt:variant>
      <vt:variant>
        <vt:lpwstr/>
      </vt:variant>
      <vt:variant>
        <vt:i4>786450</vt:i4>
      </vt:variant>
      <vt:variant>
        <vt:i4>18</vt:i4>
      </vt:variant>
      <vt:variant>
        <vt:i4>0</vt:i4>
      </vt:variant>
      <vt:variant>
        <vt:i4>5</vt:i4>
      </vt:variant>
      <vt:variant>
        <vt:lpwstr>https://www.e-tar.lt/portal/lt/legalAct/TAR.F973D5DC767D</vt:lpwstr>
      </vt:variant>
      <vt:variant>
        <vt:lpwstr/>
      </vt:variant>
      <vt:variant>
        <vt:i4>65607</vt:i4>
      </vt:variant>
      <vt:variant>
        <vt:i4>15</vt:i4>
      </vt:variant>
      <vt:variant>
        <vt:i4>0</vt:i4>
      </vt:variant>
      <vt:variant>
        <vt:i4>5</vt:i4>
      </vt:variant>
      <vt:variant>
        <vt:lpwstr>https://www.e-tar.lt/portal/lt/legalAct/TAR.C83C325BD169</vt:lpwstr>
      </vt:variant>
      <vt:variant>
        <vt:lpwstr/>
      </vt:variant>
      <vt:variant>
        <vt:i4>5832773</vt:i4>
      </vt:variant>
      <vt:variant>
        <vt:i4>12</vt:i4>
      </vt:variant>
      <vt:variant>
        <vt:i4>0</vt:i4>
      </vt:variant>
      <vt:variant>
        <vt:i4>5</vt:i4>
      </vt:variant>
      <vt:variant>
        <vt:lpwstr>https://www.e-tar.lt/portal/lt/legalAct/TAR.43145C69A1A7</vt:lpwstr>
      </vt:variant>
      <vt:variant>
        <vt:lpwstr/>
      </vt:variant>
      <vt:variant>
        <vt:i4>327748</vt:i4>
      </vt:variant>
      <vt:variant>
        <vt:i4>9</vt:i4>
      </vt:variant>
      <vt:variant>
        <vt:i4>0</vt:i4>
      </vt:variant>
      <vt:variant>
        <vt:i4>5</vt:i4>
      </vt:variant>
      <vt:variant>
        <vt:lpwstr>https://www.e-tar.lt/portal/lt/legalAct/TAR.AC33FAE573A0</vt:lpwstr>
      </vt:variant>
      <vt:variant>
        <vt:lpwstr/>
      </vt:variant>
      <vt:variant>
        <vt:i4>5701663</vt:i4>
      </vt:variant>
      <vt:variant>
        <vt:i4>6</vt:i4>
      </vt:variant>
      <vt:variant>
        <vt:i4>0</vt:i4>
      </vt:variant>
      <vt:variant>
        <vt:i4>5</vt:i4>
      </vt:variant>
      <vt:variant>
        <vt:lpwstr>https://www.e-tar.lt/portal/lt/legalAct/TAR.900FB36B1D06</vt:lpwstr>
      </vt:variant>
      <vt:variant>
        <vt:lpwstr/>
      </vt:variant>
      <vt:variant>
        <vt:i4>917528</vt:i4>
      </vt:variant>
      <vt:variant>
        <vt:i4>3</vt:i4>
      </vt:variant>
      <vt:variant>
        <vt:i4>0</vt:i4>
      </vt:variant>
      <vt:variant>
        <vt:i4>5</vt:i4>
      </vt:variant>
      <vt:variant>
        <vt:lpwstr>https://www.e-tar.lt/portal/lt/legalAct/TAR.A3BB93132DB9</vt:lpwstr>
      </vt:variant>
      <vt:variant>
        <vt:lpwstr/>
      </vt:variant>
      <vt:variant>
        <vt:i4>5373976</vt:i4>
      </vt:variant>
      <vt:variant>
        <vt:i4>0</vt:i4>
      </vt:variant>
      <vt:variant>
        <vt:i4>0</vt:i4>
      </vt:variant>
      <vt:variant>
        <vt:i4>5</vt:i4>
      </vt:variant>
      <vt:variant>
        <vt:lpwstr>https://www.e-tar.lt/portal/lt/legalAct/TAR.05EFB48B0BD7</vt:lpwstr>
      </vt:variant>
      <vt:variant>
        <vt:lpwstr/>
      </vt:variant>
    </vt:vector>
  </HLinks>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2016-03-21T08:54:00Z</dcterms:created>
  <dc:creator>m-satkeviciene</dc:creator>
  <lastModifiedBy>JUOSPONIENĖ Karolina</lastModifiedBy>
  <lastPrinted>2011-07-11T14:15:00Z</lastPrinted>
  <dcterms:modified xsi:type="dcterms:W3CDTF">2024-11-11T19:39:00Z</dcterms:modified>
  <revision>28</revision>
  <dc:title>PATVIRTINTA</dc:title>
</coreProperties>
</file>